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宋体" w:hAnsi="宋体"/>
          <w:b/>
          <w:sz w:val="44"/>
          <w:szCs w:val="44"/>
        </w:rPr>
      </w:pPr>
      <w:r>
        <w:rPr>
          <w:rFonts w:hint="eastAsia" w:ascii="宋体" w:hAnsi="宋体"/>
          <w:b/>
          <w:sz w:val="44"/>
          <w:szCs w:val="44"/>
        </w:rPr>
        <w:t>基金会章程核准表</w:t>
      </w:r>
    </w:p>
    <w:p>
      <w:pPr>
        <w:spacing w:line="300" w:lineRule="exact"/>
        <w:jc w:val="center"/>
        <w:rPr>
          <w:rFonts w:hint="eastAsia" w:ascii="Times New Roman" w:hAnsi="Times New Roman" w:eastAsia="仿宋_GB2312"/>
          <w:b/>
          <w:bCs/>
          <w:sz w:val="28"/>
          <w:szCs w:val="28"/>
        </w:rPr>
      </w:pPr>
    </w:p>
    <w:tbl>
      <w:tblPr>
        <w:tblStyle w:val="4"/>
        <w:tblW w:w="891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
        <w:gridCol w:w="1611"/>
        <w:gridCol w:w="1390"/>
        <w:gridCol w:w="80"/>
        <w:gridCol w:w="1481"/>
        <w:gridCol w:w="1380"/>
        <w:gridCol w:w="98"/>
        <w:gridCol w:w="1478"/>
        <w:gridCol w:w="138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8"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sz w:val="28"/>
                <w:szCs w:val="28"/>
              </w:rPr>
              <w:t>基金会名称</w:t>
            </w:r>
          </w:p>
        </w:tc>
        <w:tc>
          <w:tcPr>
            <w:tcW w:w="7294" w:type="dxa"/>
            <w:gridSpan w:val="7"/>
            <w:tcBorders>
              <w:top w:val="single" w:color="auto" w:sz="8" w:space="0"/>
              <w:left w:val="single" w:color="auto" w:sz="4" w:space="0"/>
              <w:bottom w:val="single" w:color="auto" w:sz="4" w:space="0"/>
              <w:right w:val="single" w:color="auto" w:sz="8" w:space="0"/>
            </w:tcBorders>
            <w:vAlign w:val="center"/>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浙江某慈善基金会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68" w:hanging="68" w:hangingChars="38"/>
              <w:jc w:val="center"/>
              <w:rPr>
                <w:rFonts w:ascii="Times New Roman" w:hAnsi="Times New Roman" w:eastAsia="仿宋_GB2312"/>
                <w:bCs/>
                <w:sz w:val="28"/>
                <w:szCs w:val="28"/>
              </w:rPr>
            </w:pPr>
            <w:r>
              <w:rPr>
                <w:rFonts w:hint="eastAsia" w:ascii="Times New Roman" w:hAnsi="Times New Roman" w:eastAsia="仿宋_GB2312"/>
                <w:bCs/>
                <w:spacing w:val="3"/>
                <w:w w:val="62"/>
                <w:kern w:val="0"/>
                <w:sz w:val="28"/>
                <w:szCs w:val="28"/>
              </w:rPr>
              <w:t>统一社会信用代</w:t>
            </w:r>
            <w:r>
              <w:rPr>
                <w:rFonts w:hint="eastAsia" w:ascii="Times New Roman" w:hAnsi="Times New Roman" w:eastAsia="仿宋_GB2312"/>
                <w:bCs/>
                <w:spacing w:val="-9"/>
                <w:w w:val="62"/>
                <w:kern w:val="0"/>
                <w:sz w:val="28"/>
                <w:szCs w:val="28"/>
              </w:rPr>
              <w:t>码</w:t>
            </w:r>
          </w:p>
        </w:tc>
        <w:tc>
          <w:tcPr>
            <w:tcW w:w="7294" w:type="dxa"/>
            <w:gridSpan w:val="7"/>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8917" w:type="dxa"/>
            <w:gridSpan w:val="9"/>
            <w:tcBorders>
              <w:top w:val="single" w:color="auto" w:sz="4" w:space="0"/>
              <w:left w:val="single" w:color="auto" w:sz="8"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通过章程的会议情况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会议名称</w:t>
            </w:r>
          </w:p>
        </w:tc>
        <w:tc>
          <w:tcPr>
            <w:tcW w:w="4432" w:type="dxa"/>
            <w:gridSpan w:val="5"/>
            <w:tcBorders>
              <w:top w:val="single" w:color="auto" w:sz="4" w:space="0"/>
              <w:left w:val="single" w:color="auto" w:sz="4" w:space="0"/>
              <w:bottom w:val="single" w:color="auto" w:sz="4" w:space="0"/>
              <w:right w:val="single" w:color="auto" w:sz="4" w:space="0"/>
            </w:tcBorders>
            <w:vAlign w:val="center"/>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sz w:val="28"/>
                <w:szCs w:val="28"/>
              </w:rPr>
              <w:t>第几届几次理事会</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firstLine="137" w:firstLineChars="49"/>
              <w:rPr>
                <w:rFonts w:ascii="Times New Roman" w:hAnsi="Times New Roman" w:eastAsia="仿宋_GB2312"/>
                <w:bCs/>
                <w:sz w:val="28"/>
                <w:szCs w:val="28"/>
              </w:rPr>
            </w:pPr>
            <w:r>
              <w:rPr>
                <w:rFonts w:hint="eastAsia" w:ascii="Times New Roman" w:hAnsi="Times New Roman" w:eastAsia="仿宋_GB2312"/>
                <w:bCs/>
                <w:sz w:val="28"/>
                <w:szCs w:val="28"/>
              </w:rPr>
              <w:t>表决形式</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举手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时</w:t>
            </w:r>
            <w:r>
              <w:rPr>
                <w:rFonts w:ascii="Times New Roman" w:hAnsi="Times New Roman" w:eastAsia="仿宋_GB2312"/>
                <w:bCs/>
                <w:kern w:val="0"/>
                <w:sz w:val="28"/>
                <w:szCs w:val="28"/>
              </w:rPr>
              <w:t xml:space="preserve">    </w:t>
            </w:r>
            <w:r>
              <w:rPr>
                <w:rFonts w:hint="eastAsia" w:ascii="Times New Roman" w:hAnsi="Times New Roman" w:eastAsia="仿宋_GB2312"/>
                <w:bCs/>
                <w:kern w:val="0"/>
                <w:sz w:val="28"/>
                <w:szCs w:val="28"/>
              </w:rPr>
              <w:t>间</w:t>
            </w:r>
          </w:p>
        </w:tc>
        <w:tc>
          <w:tcPr>
            <w:tcW w:w="1471" w:type="dxa"/>
            <w:gridSpan w:val="2"/>
            <w:tcBorders>
              <w:top w:val="single" w:color="auto" w:sz="4" w:space="0"/>
              <w:left w:val="single" w:color="auto" w:sz="4" w:space="0"/>
              <w:bottom w:val="single" w:color="auto" w:sz="4" w:space="0"/>
              <w:right w:val="single" w:color="auto" w:sz="4" w:space="0"/>
            </w:tcBorders>
          </w:tcPr>
          <w:p>
            <w:pPr>
              <w:spacing w:line="500" w:lineRule="exact"/>
              <w:rPr>
                <w:rFonts w:ascii="Times New Roman" w:hAnsi="Times New Roman" w:eastAsia="仿宋_GB2312"/>
                <w:bCs/>
                <w:sz w:val="28"/>
                <w:szCs w:val="28"/>
              </w:rPr>
            </w:pPr>
            <w:r>
              <w:rPr>
                <w:rFonts w:ascii="Times New Roman" w:hAnsi="Times New Roman" w:eastAsia="仿宋_GB2312"/>
                <w:bCs/>
                <w:sz w:val="28"/>
                <w:szCs w:val="28"/>
              </w:rPr>
              <w:t>2019.1.1</w:t>
            </w:r>
          </w:p>
        </w:tc>
        <w:tc>
          <w:tcPr>
            <w:tcW w:w="148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应到人数</w:t>
            </w:r>
          </w:p>
        </w:tc>
        <w:tc>
          <w:tcPr>
            <w:tcW w:w="1479"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13</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left="106" w:hanging="106" w:hangingChars="38"/>
              <w:jc w:val="center"/>
              <w:rPr>
                <w:rFonts w:ascii="Times New Roman" w:hAnsi="Times New Roman" w:eastAsia="仿宋_GB2312"/>
                <w:bCs/>
                <w:sz w:val="28"/>
                <w:szCs w:val="28"/>
              </w:rPr>
            </w:pPr>
            <w:r>
              <w:rPr>
                <w:rFonts w:hint="eastAsia" w:ascii="Times New Roman" w:hAnsi="Times New Roman" w:eastAsia="仿宋_GB2312"/>
                <w:bCs/>
                <w:kern w:val="0"/>
                <w:sz w:val="28"/>
                <w:szCs w:val="28"/>
              </w:rPr>
              <w:t>实到人数</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rPr>
                <w:rFonts w:ascii="Times New Roman" w:hAnsi="Times New Roman" w:eastAsia="仿宋_GB2312"/>
                <w:bCs/>
                <w:sz w:val="28"/>
                <w:szCs w:val="28"/>
              </w:rPr>
            </w:pPr>
            <w:r>
              <w:rPr>
                <w:rFonts w:ascii="Times New Roman" w:hAnsi="Times New Roman" w:eastAsia="仿宋_GB2312"/>
                <w:bCs/>
                <w:sz w:val="28"/>
                <w:szCs w:val="28"/>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1623" w:type="dxa"/>
            <w:gridSpan w:val="2"/>
            <w:tcBorders>
              <w:top w:val="single" w:color="auto" w:sz="4" w:space="0"/>
              <w:left w:val="single" w:color="auto" w:sz="8" w:space="0"/>
              <w:bottom w:val="single" w:color="auto" w:sz="4" w:space="0"/>
              <w:right w:val="single" w:color="auto" w:sz="4" w:space="0"/>
            </w:tcBorders>
          </w:tcPr>
          <w:p>
            <w:pPr>
              <w:spacing w:line="500" w:lineRule="exact"/>
              <w:ind w:hanging="2"/>
              <w:jc w:val="center"/>
              <w:rPr>
                <w:rFonts w:ascii="Times New Roman" w:hAnsi="Times New Roman" w:eastAsia="仿宋_GB2312"/>
                <w:bCs/>
                <w:sz w:val="28"/>
                <w:szCs w:val="28"/>
              </w:rPr>
            </w:pPr>
            <w:r>
              <w:rPr>
                <w:rFonts w:hint="eastAsia" w:ascii="Times New Roman" w:hAnsi="Times New Roman" w:eastAsia="仿宋_GB2312"/>
                <w:bCs/>
                <w:sz w:val="28"/>
                <w:szCs w:val="28"/>
              </w:rPr>
              <w:t>赞同人数</w:t>
            </w:r>
          </w:p>
        </w:tc>
        <w:tc>
          <w:tcPr>
            <w:tcW w:w="1471"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13</w:t>
            </w:r>
          </w:p>
        </w:tc>
        <w:tc>
          <w:tcPr>
            <w:tcW w:w="1482" w:type="dxa"/>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反对人数</w:t>
            </w:r>
          </w:p>
        </w:tc>
        <w:tc>
          <w:tcPr>
            <w:tcW w:w="1479" w:type="dxa"/>
            <w:gridSpan w:val="2"/>
            <w:tcBorders>
              <w:top w:val="single" w:color="auto" w:sz="4" w:space="0"/>
              <w:left w:val="single" w:color="auto" w:sz="4" w:space="0"/>
              <w:bottom w:val="single" w:color="auto" w:sz="4" w:space="0"/>
              <w:right w:val="single" w:color="auto" w:sz="4"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0</w:t>
            </w:r>
          </w:p>
        </w:tc>
        <w:tc>
          <w:tcPr>
            <w:tcW w:w="1479" w:type="dxa"/>
            <w:tcBorders>
              <w:top w:val="single" w:color="auto" w:sz="4" w:space="0"/>
              <w:left w:val="single" w:color="auto" w:sz="4" w:space="0"/>
              <w:bottom w:val="single" w:color="auto" w:sz="4" w:space="0"/>
              <w:right w:val="single" w:color="auto" w:sz="4" w:space="0"/>
            </w:tcBorders>
          </w:tcPr>
          <w:p>
            <w:pPr>
              <w:spacing w:line="500" w:lineRule="exact"/>
              <w:ind w:hanging="2"/>
              <w:jc w:val="center"/>
              <w:rPr>
                <w:rFonts w:ascii="Times New Roman" w:hAnsi="Times New Roman" w:eastAsia="仿宋_GB2312"/>
                <w:bCs/>
                <w:sz w:val="28"/>
                <w:szCs w:val="28"/>
              </w:rPr>
            </w:pPr>
            <w:r>
              <w:rPr>
                <w:rFonts w:hint="eastAsia" w:ascii="Times New Roman" w:hAnsi="Times New Roman" w:eastAsia="仿宋_GB2312"/>
                <w:bCs/>
                <w:sz w:val="28"/>
                <w:szCs w:val="28"/>
              </w:rPr>
              <w:t>弃权人数</w:t>
            </w:r>
          </w:p>
        </w:tc>
        <w:tc>
          <w:tcPr>
            <w:tcW w:w="1383" w:type="dxa"/>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ascii="Times New Roman" w:hAnsi="Times New Roman" w:eastAsia="仿宋_GB2312"/>
                <w:bCs/>
                <w:sz w:val="28"/>
                <w:szCs w:val="28"/>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86" w:hRule="atLeast"/>
          <w:jc w:val="center"/>
        </w:trPr>
        <w:tc>
          <w:tcPr>
            <w:tcW w:w="1623" w:type="dxa"/>
            <w:gridSpan w:val="2"/>
            <w:tcBorders>
              <w:top w:val="single" w:color="auto" w:sz="4" w:space="0"/>
              <w:left w:val="single" w:color="auto" w:sz="8" w:space="0"/>
              <w:bottom w:val="single" w:color="auto" w:sz="4" w:space="0"/>
              <w:right w:val="single" w:color="auto" w:sz="4" w:space="0"/>
            </w:tcBorders>
            <w:vAlign w:val="center"/>
          </w:tcPr>
          <w:p>
            <w:pPr>
              <w:spacing w:line="500" w:lineRule="exact"/>
              <w:ind w:left="-105" w:leftChars="-50" w:right="-105" w:rightChars="-50"/>
              <w:jc w:val="center"/>
              <w:rPr>
                <w:rFonts w:ascii="Times New Roman" w:hAnsi="Times New Roman" w:eastAsia="仿宋_GB2312"/>
                <w:bCs/>
                <w:sz w:val="28"/>
                <w:szCs w:val="28"/>
              </w:rPr>
            </w:pPr>
            <w:r>
              <w:rPr>
                <w:rFonts w:hint="eastAsia" w:ascii="Times New Roman" w:hAnsi="Times New Roman" w:eastAsia="仿宋_GB2312"/>
                <w:bCs/>
                <w:sz w:val="28"/>
                <w:szCs w:val="28"/>
              </w:rPr>
              <w:t>修改说明</w:t>
            </w:r>
          </w:p>
          <w:p>
            <w:pPr>
              <w:spacing w:line="500" w:lineRule="exact"/>
              <w:ind w:left="-105" w:leftChars="-50" w:right="-105" w:rightChars="-50"/>
              <w:jc w:val="center"/>
              <w:rPr>
                <w:rFonts w:ascii="Times New Roman" w:hAnsi="Times New Roman" w:eastAsia="仿宋_GB2312"/>
                <w:bCs/>
                <w:sz w:val="28"/>
                <w:szCs w:val="28"/>
              </w:rPr>
            </w:pPr>
            <w:r>
              <w:rPr>
                <w:rFonts w:hint="eastAsia" w:ascii="Times New Roman" w:hAnsi="Times New Roman" w:eastAsia="仿宋_GB2312"/>
                <w:bCs/>
                <w:sz w:val="28"/>
                <w:szCs w:val="28"/>
              </w:rPr>
              <w:t>（可另附页）</w:t>
            </w:r>
          </w:p>
        </w:tc>
        <w:tc>
          <w:tcPr>
            <w:tcW w:w="7294" w:type="dxa"/>
            <w:gridSpan w:val="7"/>
            <w:tcBorders>
              <w:top w:val="single" w:color="auto" w:sz="4" w:space="0"/>
              <w:left w:val="single" w:color="auto" w:sz="4" w:space="0"/>
              <w:bottom w:val="single" w:color="auto" w:sz="4" w:space="0"/>
              <w:right w:val="single" w:color="auto" w:sz="8" w:space="0"/>
            </w:tcBorders>
          </w:tcPr>
          <w:p>
            <w:pPr>
              <w:spacing w:line="500" w:lineRule="exact"/>
              <w:jc w:val="center"/>
              <w:rPr>
                <w:rFonts w:ascii="Times New Roman" w:hAnsi="Times New Roman" w:eastAsia="仿宋_GB2312"/>
                <w:bCs/>
                <w:sz w:val="28"/>
                <w:szCs w:val="28"/>
              </w:rPr>
            </w:pPr>
            <w:r>
              <w:rPr>
                <w:rFonts w:hint="eastAsia" w:ascii="Times New Roman" w:hAnsi="Times New Roman" w:eastAsia="仿宋_GB2312"/>
                <w:bCs/>
                <w:sz w:val="28"/>
                <w:szCs w:val="28"/>
              </w:rPr>
              <w:t>第几条“</w:t>
            </w:r>
            <w:r>
              <w:rPr>
                <w:rFonts w:ascii="Times New Roman" w:hAnsi="Times New Roman" w:eastAsia="仿宋_GB2312"/>
                <w:bCs/>
                <w:sz w:val="28"/>
                <w:szCs w:val="28"/>
              </w:rPr>
              <w:t>……..</w:t>
            </w:r>
            <w:r>
              <w:rPr>
                <w:rFonts w:hint="eastAsia" w:ascii="Times New Roman" w:hAnsi="Times New Roman" w:eastAsia="仿宋_GB2312"/>
                <w:bCs/>
                <w:sz w:val="28"/>
                <w:szCs w:val="28"/>
              </w:rPr>
              <w:t>”修改为“</w:t>
            </w:r>
            <w:r>
              <w:rPr>
                <w:rFonts w:ascii="Times New Roman" w:hAnsi="Times New Roman" w:eastAsia="仿宋_GB2312"/>
                <w:bCs/>
                <w:sz w:val="28"/>
                <w:szCs w:val="28"/>
              </w:rPr>
              <w:t>……….</w:t>
            </w:r>
            <w:r>
              <w:rPr>
                <w:rFonts w:hint="eastAsia" w:ascii="Times New Roman" w:hAnsi="Times New Roman" w:eastAsia="仿宋_GB2312"/>
                <w:bCs/>
                <w:sz w:val="28"/>
                <w:szCs w:val="28"/>
              </w:rPr>
              <w:t>”</w:t>
            </w:r>
          </w:p>
          <w:p>
            <w:pPr>
              <w:spacing w:line="500" w:lineRule="exact"/>
              <w:jc w:val="center"/>
              <w:rPr>
                <w:rFonts w:ascii="Times New Roman" w:hAnsi="Times New Roman" w:eastAsia="仿宋_GB2312"/>
                <w:bCs/>
                <w:sz w:val="28"/>
                <w:szCs w:val="28"/>
              </w:rPr>
            </w:pPr>
          </w:p>
          <w:p>
            <w:pPr>
              <w:spacing w:line="500" w:lineRule="exact"/>
              <w:jc w:val="center"/>
              <w:rPr>
                <w:rFonts w:ascii="Times New Roman" w:hAnsi="Times New Roman" w:eastAsia="仿宋_GB2312"/>
                <w:bCs/>
                <w:sz w:val="28"/>
                <w:szCs w:val="28"/>
              </w:rPr>
            </w:pPr>
          </w:p>
          <w:p>
            <w:pPr>
              <w:spacing w:line="500" w:lineRule="exact"/>
              <w:jc w:val="center"/>
              <w:rPr>
                <w:rFonts w:ascii="Times New Roman" w:hAnsi="Times New Roman" w:eastAsia="仿宋_GB2312"/>
                <w:bCs/>
                <w:sz w:val="28"/>
                <w:szCs w:val="2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gridBefore w:val="1"/>
          <w:wBefore w:w="11" w:type="dxa"/>
          <w:trHeight w:val="2533" w:hRule="atLeast"/>
          <w:jc w:val="center"/>
        </w:trPr>
        <w:tc>
          <w:tcPr>
            <w:tcW w:w="3003" w:type="dxa"/>
            <w:gridSpan w:val="2"/>
            <w:tcBorders>
              <w:top w:val="single" w:color="auto" w:sz="4" w:space="0"/>
              <w:left w:val="single" w:color="auto" w:sz="8" w:space="0"/>
              <w:bottom w:val="single" w:color="auto" w:sz="8" w:space="0"/>
              <w:right w:val="single" w:color="auto" w:sz="4" w:space="0"/>
            </w:tcBorders>
            <w:tcMar>
              <w:top w:w="0" w:type="dxa"/>
              <w:left w:w="57" w:type="dxa"/>
              <w:bottom w:w="0" w:type="dxa"/>
              <w:right w:w="57" w:type="dxa"/>
            </w:tcMar>
          </w:tcPr>
          <w:p>
            <w:pPr>
              <w:spacing w:line="500" w:lineRule="exact"/>
              <w:rPr>
                <w:rFonts w:ascii="仿宋_GB2312" w:eastAsia="仿宋_GB2312"/>
                <w:bCs/>
                <w:w w:val="80"/>
                <w:sz w:val="28"/>
                <w:szCs w:val="28"/>
              </w:rPr>
            </w:pPr>
            <w:r>
              <w:rPr>
                <w:rFonts w:hint="eastAsia" w:ascii="仿宋_GB2312" w:eastAsia="仿宋_GB2312"/>
                <w:bCs/>
                <w:w w:val="80"/>
                <w:sz w:val="28"/>
                <w:szCs w:val="28"/>
              </w:rPr>
              <w:t>基金会法定代表人签章：</w:t>
            </w:r>
          </w:p>
          <w:p>
            <w:pPr>
              <w:spacing w:line="500" w:lineRule="exact"/>
              <w:rPr>
                <w:rFonts w:hint="eastAsia" w:ascii="仿宋_GB2312" w:eastAsia="仿宋_GB2312"/>
                <w:bCs/>
                <w:sz w:val="28"/>
                <w:szCs w:val="28"/>
              </w:rPr>
            </w:pPr>
            <w:r>
              <w:rPr>
                <w:rFonts w:hint="eastAsia" w:ascii="仿宋_GB2312" w:eastAsia="仿宋_GB2312"/>
                <w:bCs/>
                <w:sz w:val="28"/>
                <w:szCs w:val="28"/>
              </w:rPr>
              <w:t>基金会盖章：</w:t>
            </w:r>
          </w:p>
          <w:p>
            <w:pPr>
              <w:spacing w:line="500" w:lineRule="exact"/>
              <w:rPr>
                <w:rFonts w:hint="eastAsia" w:ascii="仿宋_GB2312" w:eastAsia="仿宋_GB2312"/>
                <w:bCs/>
                <w:sz w:val="28"/>
                <w:szCs w:val="28"/>
              </w:rPr>
            </w:pPr>
            <w:r>
              <w:rPr>
                <w:rFonts w:hint="eastAsia" w:ascii="仿宋_GB2312" w:eastAsia="仿宋_GB2312"/>
                <w:bCs/>
                <w:sz w:val="28"/>
                <w:szCs w:val="28"/>
              </w:rPr>
              <w:t xml:space="preserve">                   </w:t>
            </w:r>
          </w:p>
          <w:p>
            <w:pPr>
              <w:spacing w:line="500" w:lineRule="exact"/>
              <w:rPr>
                <w:rFonts w:hint="eastAsia" w:ascii="仿宋_GB2312" w:eastAsia="仿宋_GB2312"/>
                <w:bCs/>
                <w:sz w:val="28"/>
                <w:szCs w:val="28"/>
              </w:rPr>
            </w:pPr>
          </w:p>
          <w:p>
            <w:pPr>
              <w:spacing w:line="500" w:lineRule="exact"/>
              <w:jc w:val="right"/>
              <w:rPr>
                <w:rFonts w:hint="eastAsia" w:ascii="仿宋_GB2312" w:eastAsia="仿宋_GB2312"/>
                <w:bCs/>
                <w:sz w:val="28"/>
                <w:szCs w:val="28"/>
              </w:rPr>
            </w:pPr>
            <w:r>
              <w:rPr>
                <w:rFonts w:hint="eastAsia" w:ascii="仿宋_GB2312" w:eastAsia="仿宋_GB2312"/>
                <w:bCs/>
                <w:sz w:val="28"/>
                <w:szCs w:val="28"/>
              </w:rPr>
              <w:t>年  月  日</w:t>
            </w:r>
          </w:p>
        </w:tc>
        <w:tc>
          <w:tcPr>
            <w:tcW w:w="2943" w:type="dxa"/>
            <w:gridSpan w:val="3"/>
            <w:tcBorders>
              <w:top w:val="single" w:color="auto" w:sz="4" w:space="0"/>
              <w:left w:val="single" w:color="auto" w:sz="4" w:space="0"/>
              <w:bottom w:val="single" w:color="auto" w:sz="8" w:space="0"/>
              <w:right w:val="single" w:color="auto" w:sz="4" w:space="0"/>
            </w:tcBorders>
            <w:tcMar>
              <w:top w:w="0" w:type="dxa"/>
              <w:left w:w="57" w:type="dxa"/>
              <w:bottom w:w="0" w:type="dxa"/>
              <w:right w:w="57" w:type="dxa"/>
            </w:tcMar>
          </w:tcPr>
          <w:p>
            <w:pPr>
              <w:spacing w:line="500" w:lineRule="exact"/>
              <w:ind w:firstLine="1"/>
              <w:rPr>
                <w:rFonts w:hint="eastAsia" w:ascii="仿宋_GB2312" w:eastAsia="仿宋_GB2312"/>
                <w:bCs/>
                <w:sz w:val="28"/>
                <w:szCs w:val="28"/>
              </w:rPr>
            </w:pPr>
            <w:r>
              <w:rPr>
                <w:rFonts w:hint="eastAsia" w:ascii="仿宋_GB2312" w:eastAsia="仿宋_GB2312"/>
                <w:bCs/>
                <w:sz w:val="28"/>
                <w:szCs w:val="28"/>
              </w:rPr>
              <w:t>业务主管单位意见：</w:t>
            </w:r>
          </w:p>
          <w:p>
            <w:pPr>
              <w:spacing w:line="500" w:lineRule="exact"/>
              <w:ind w:firstLine="1"/>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hint="eastAsia" w:ascii="仿宋_GB2312" w:eastAsia="仿宋_GB2312"/>
                <w:bCs/>
                <w:sz w:val="28"/>
                <w:szCs w:val="28"/>
              </w:rPr>
            </w:pPr>
            <w:r>
              <w:rPr>
                <w:rFonts w:hint="eastAsia" w:ascii="仿宋_GB2312" w:eastAsia="仿宋_GB2312"/>
                <w:bCs/>
                <w:sz w:val="28"/>
                <w:szCs w:val="28"/>
              </w:rPr>
              <w:t>经办人：             年  月  日</w:t>
            </w:r>
          </w:p>
        </w:tc>
        <w:tc>
          <w:tcPr>
            <w:tcW w:w="2960" w:type="dxa"/>
            <w:gridSpan w:val="3"/>
            <w:tcBorders>
              <w:top w:val="single" w:color="auto" w:sz="4" w:space="0"/>
              <w:left w:val="single" w:color="auto" w:sz="4" w:space="0"/>
              <w:bottom w:val="single" w:color="auto" w:sz="8" w:space="0"/>
              <w:right w:val="single" w:color="auto" w:sz="8" w:space="0"/>
            </w:tcBorders>
            <w:tcMar>
              <w:top w:w="0" w:type="dxa"/>
              <w:left w:w="57" w:type="dxa"/>
              <w:bottom w:w="0" w:type="dxa"/>
              <w:right w:w="57" w:type="dxa"/>
            </w:tcMar>
          </w:tcPr>
          <w:p>
            <w:pPr>
              <w:spacing w:line="500" w:lineRule="exact"/>
              <w:rPr>
                <w:rFonts w:hint="eastAsia" w:ascii="仿宋_GB2312" w:eastAsia="仿宋_GB2312"/>
                <w:bCs/>
                <w:sz w:val="28"/>
                <w:szCs w:val="28"/>
              </w:rPr>
            </w:pPr>
            <w:r>
              <w:rPr>
                <w:rFonts w:hint="eastAsia" w:ascii="仿宋_GB2312" w:eastAsia="仿宋_GB2312"/>
                <w:bCs/>
                <w:sz w:val="28"/>
                <w:szCs w:val="28"/>
              </w:rPr>
              <w:t>党建</w:t>
            </w:r>
            <w:r>
              <w:rPr>
                <w:rFonts w:hint="eastAsia" w:ascii="仿宋_GB2312" w:eastAsia="仿宋_GB2312"/>
                <w:bCs/>
                <w:sz w:val="28"/>
                <w:szCs w:val="28"/>
                <w:lang w:val="en-US" w:eastAsia="zh-CN"/>
              </w:rPr>
              <w:t>工作机构</w:t>
            </w:r>
            <w:r>
              <w:rPr>
                <w:rFonts w:hint="eastAsia" w:ascii="仿宋_GB2312" w:eastAsia="仿宋_GB2312"/>
                <w:bCs/>
                <w:sz w:val="28"/>
                <w:szCs w:val="28"/>
              </w:rPr>
              <w:t>意见：</w:t>
            </w:r>
          </w:p>
          <w:p>
            <w:pPr>
              <w:spacing w:line="500" w:lineRule="exact"/>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（印章）</w:t>
            </w:r>
          </w:p>
          <w:p>
            <w:pPr>
              <w:spacing w:line="500" w:lineRule="exact"/>
              <w:ind w:left="1400" w:hanging="1400" w:hangingChars="500"/>
              <w:jc w:val="left"/>
              <w:rPr>
                <w:rFonts w:hint="eastAsia" w:ascii="仿宋_GB2312" w:eastAsia="仿宋_GB2312"/>
                <w:bCs/>
                <w:sz w:val="28"/>
                <w:szCs w:val="28"/>
              </w:rPr>
            </w:pPr>
            <w:r>
              <w:rPr>
                <w:rFonts w:hint="eastAsia" w:ascii="仿宋_GB2312" w:eastAsia="仿宋_GB2312"/>
                <w:bCs/>
                <w:sz w:val="28"/>
                <w:szCs w:val="28"/>
              </w:rPr>
              <w:t>经办人：             年  月  日</w:t>
            </w:r>
          </w:p>
        </w:tc>
      </w:tr>
    </w:tbl>
    <w:p>
      <w:pPr>
        <w:jc w:val="center"/>
        <w:rPr>
          <w:rFonts w:hint="eastAsia" w:ascii="黑体" w:hAnsi="Times New Roman" w:eastAsia="黑体"/>
          <w:bCs/>
          <w:sz w:val="28"/>
          <w:szCs w:val="28"/>
        </w:rPr>
      </w:pPr>
      <w:r>
        <w:rPr>
          <w:rFonts w:hint="eastAsia" w:ascii="黑体" w:hAnsi="Times New Roman" w:eastAsia="黑体"/>
          <w:bCs/>
          <w:sz w:val="28"/>
          <w:szCs w:val="28"/>
        </w:rPr>
        <w:t>登记管理机关审批</w:t>
      </w:r>
    </w:p>
    <w:tbl>
      <w:tblPr>
        <w:tblStyle w:val="4"/>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4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030" w:hRule="atLeast"/>
          <w:jc w:val="center"/>
        </w:trPr>
        <w:tc>
          <w:tcPr>
            <w:tcW w:w="8845" w:type="dxa"/>
            <w:tcBorders>
              <w:top w:val="single" w:color="auto" w:sz="8" w:space="0"/>
              <w:left w:val="single" w:color="auto" w:sz="8" w:space="0"/>
              <w:bottom w:val="single" w:color="auto" w:sz="8" w:space="0"/>
              <w:right w:val="single" w:color="auto" w:sz="8" w:space="0"/>
            </w:tcBorders>
            <w:vAlign w:val="bottom"/>
          </w:tcPr>
          <w:p>
            <w:pPr>
              <w:spacing w:line="500" w:lineRule="exact"/>
              <w:rPr>
                <w:rFonts w:hint="eastAsia" w:ascii="仿宋_GB2312" w:eastAsia="仿宋_GB2312"/>
                <w:bCs/>
                <w:sz w:val="28"/>
                <w:szCs w:val="28"/>
              </w:rPr>
            </w:pPr>
          </w:p>
          <w:p>
            <w:pPr>
              <w:spacing w:line="500" w:lineRule="exact"/>
              <w:jc w:val="right"/>
              <w:rPr>
                <w:rFonts w:hint="eastAsia" w:ascii="仿宋_GB2312" w:eastAsia="仿宋_GB2312"/>
                <w:bCs/>
                <w:sz w:val="28"/>
                <w:szCs w:val="28"/>
              </w:rPr>
            </w:pPr>
          </w:p>
          <w:p>
            <w:pPr>
              <w:spacing w:line="500" w:lineRule="exact"/>
              <w:rPr>
                <w:rFonts w:hint="eastAsia" w:ascii="仿宋_GB2312" w:eastAsia="仿宋_GB2312"/>
                <w:bCs/>
                <w:sz w:val="28"/>
                <w:szCs w:val="28"/>
              </w:rPr>
            </w:pPr>
            <w:r>
              <w:rPr>
                <w:rFonts w:hint="eastAsia" w:ascii="仿宋_GB2312" w:eastAsia="仿宋_GB2312"/>
                <w:bCs/>
                <w:sz w:val="28"/>
                <w:szCs w:val="28"/>
              </w:rPr>
              <w:t>承办人：                 负责人：</w:t>
            </w:r>
          </w:p>
          <w:p>
            <w:pPr>
              <w:spacing w:line="500" w:lineRule="exact"/>
              <w:ind w:firstLine="7243" w:firstLineChars="2587"/>
              <w:rPr>
                <w:rFonts w:hint="eastAsia" w:ascii="仿宋_GB2312" w:eastAsia="仿宋_GB2312"/>
                <w:bCs/>
                <w:sz w:val="28"/>
                <w:szCs w:val="28"/>
              </w:rPr>
            </w:pPr>
            <w:r>
              <w:rPr>
                <w:rFonts w:hint="eastAsia" w:ascii="仿宋_GB2312" w:eastAsia="仿宋_GB2312"/>
                <w:bCs/>
                <w:sz w:val="28"/>
                <w:szCs w:val="28"/>
              </w:rPr>
              <w:t>（印章）</w:t>
            </w:r>
          </w:p>
          <w:p>
            <w:pPr>
              <w:wordWrap w:val="0"/>
              <w:spacing w:line="500" w:lineRule="exact"/>
              <w:jc w:val="right"/>
              <w:rPr>
                <w:rFonts w:hint="eastAsia" w:ascii="Times New Roman" w:hAnsi="Times New Roman" w:eastAsia="仿宋_GB2312"/>
                <w:bCs/>
                <w:sz w:val="28"/>
                <w:szCs w:val="28"/>
              </w:rPr>
            </w:pPr>
            <w:r>
              <w:rPr>
                <w:rFonts w:hint="eastAsia" w:ascii="Times New Roman" w:hAnsi="Times New Roman" w:eastAsia="仿宋_GB2312"/>
                <w:bCs/>
                <w:sz w:val="28"/>
                <w:szCs w:val="28"/>
              </w:rPr>
              <w:t>年</w:t>
            </w:r>
            <w:r>
              <w:rPr>
                <w:rFonts w:ascii="Times New Roman" w:hAnsi="Times New Roman" w:eastAsia="仿宋_GB2312"/>
                <w:bCs/>
                <w:sz w:val="28"/>
                <w:szCs w:val="28"/>
              </w:rPr>
              <w:t xml:space="preserve">  </w:t>
            </w:r>
            <w:r>
              <w:rPr>
                <w:rFonts w:hint="eastAsia" w:ascii="Times New Roman" w:hAnsi="Times New Roman" w:eastAsia="仿宋_GB2312"/>
                <w:bCs/>
                <w:sz w:val="28"/>
                <w:szCs w:val="28"/>
              </w:rPr>
              <w:t>月</w:t>
            </w:r>
            <w:r>
              <w:rPr>
                <w:rFonts w:ascii="Times New Roman" w:hAnsi="Times New Roman" w:eastAsia="仿宋_GB2312"/>
                <w:bCs/>
                <w:sz w:val="28"/>
                <w:szCs w:val="28"/>
              </w:rPr>
              <w:t xml:space="preserve">  </w:t>
            </w:r>
            <w:r>
              <w:rPr>
                <w:rFonts w:hint="eastAsia" w:ascii="Times New Roman" w:hAnsi="Times New Roman" w:eastAsia="仿宋_GB2312"/>
                <w:bCs/>
                <w:sz w:val="28"/>
                <w:szCs w:val="28"/>
              </w:rPr>
              <w:t>日</w:t>
            </w:r>
          </w:p>
        </w:tc>
      </w:tr>
    </w:tbl>
    <w:p>
      <w:pPr>
        <w:spacing w:line="580" w:lineRule="exact"/>
        <w:jc w:val="right"/>
        <w:rPr>
          <w:rFonts w:ascii="宋体" w:hAnsi="宋体"/>
          <w:b/>
          <w:sz w:val="44"/>
          <w:szCs w:val="44"/>
        </w:rPr>
      </w:pPr>
      <w:r>
        <w:rPr>
          <w:rFonts w:hint="eastAsia" w:ascii="宋体" w:hAnsi="宋体"/>
          <w:bCs/>
          <w:sz w:val="32"/>
          <w:szCs w:val="32"/>
        </w:rPr>
        <w:t xml:space="preserve">  浙江省民政厅监制</w:t>
      </w:r>
    </w:p>
    <w:p>
      <w:pPr>
        <w:spacing w:line="580" w:lineRule="exact"/>
        <w:jc w:val="center"/>
        <w:rPr>
          <w:rFonts w:ascii="宋体" w:hAnsi="宋体"/>
          <w:b/>
          <w:sz w:val="44"/>
          <w:szCs w:val="44"/>
        </w:rPr>
        <w:sectPr>
          <w:pgSz w:w="11906" w:h="16838"/>
          <w:pgMar w:top="1440" w:right="1800" w:bottom="1440" w:left="1800" w:header="851" w:footer="992" w:gutter="0"/>
          <w:cols w:space="425" w:num="1"/>
          <w:docGrid w:type="lines" w:linePitch="312" w:charSpace="0"/>
        </w:sectPr>
      </w:pPr>
      <w:bookmarkStart w:id="0" w:name="_GoBack"/>
      <w:bookmarkEnd w:id="0"/>
    </w:p>
    <w:p>
      <w:pPr>
        <w:spacing w:line="580" w:lineRule="exact"/>
        <w:jc w:val="center"/>
        <w:rPr>
          <w:rFonts w:ascii="宋体" w:hAnsi="宋体"/>
          <w:b/>
          <w:sz w:val="44"/>
          <w:szCs w:val="44"/>
        </w:rPr>
      </w:pPr>
      <w:r>
        <w:rPr>
          <w:rFonts w:ascii="宋体" w:hAnsi="宋体"/>
          <w:b/>
          <w:sz w:val="44"/>
          <w:szCs w:val="44"/>
        </w:rPr>
        <w:t>基金会章程</w:t>
      </w:r>
      <w:r>
        <w:rPr>
          <w:rFonts w:hint="eastAsia" w:ascii="宋体" w:hAnsi="宋体"/>
          <w:b/>
          <w:sz w:val="44"/>
          <w:szCs w:val="44"/>
        </w:rPr>
        <w:t>范式</w:t>
      </w:r>
    </w:p>
    <w:p>
      <w:pPr>
        <w:spacing w:before="312" w:beforeLines="100" w:after="312" w:afterLines="100" w:line="595" w:lineRule="exact"/>
        <w:jc w:val="center"/>
        <w:rPr>
          <w:rFonts w:ascii="黑体" w:hAnsi="Times New Roman" w:eastAsia="黑体"/>
          <w:sz w:val="32"/>
          <w:szCs w:val="32"/>
        </w:rPr>
      </w:pPr>
      <w:r>
        <w:rPr>
          <w:rFonts w:hint="eastAsia" w:ascii="黑体" w:hAnsi="Times New Roman" w:eastAsia="黑体"/>
          <w:sz w:val="32"/>
          <w:szCs w:val="32"/>
        </w:rPr>
        <w:t>说    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根据2004年3月8日国务院颁布的《基金会管理条例》和其他有关法律法规制定此章程范式。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基金会章程</w:t>
      </w:r>
      <w:r>
        <w:rPr>
          <w:rFonts w:hint="eastAsia" w:ascii="Times New Roman" w:hAnsi="Times New Roman" w:eastAsia="仿宋_GB2312"/>
          <w:sz w:val="32"/>
          <w:szCs w:val="32"/>
        </w:rPr>
        <w:t>范式</w:t>
      </w:r>
      <w:r>
        <w:rPr>
          <w:rFonts w:ascii="Times New Roman" w:hAnsi="Times New Roman" w:eastAsia="仿宋_GB2312"/>
          <w:sz w:val="32"/>
          <w:szCs w:val="32"/>
        </w:rPr>
        <w:t>，旨在为基金会制定章程提供范例。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、基金会制定的章程，应当包括章程</w:t>
      </w:r>
      <w:r>
        <w:rPr>
          <w:rFonts w:hint="eastAsia" w:ascii="Times New Roman" w:hAnsi="Times New Roman" w:eastAsia="仿宋_GB2312"/>
          <w:sz w:val="32"/>
          <w:szCs w:val="32"/>
        </w:rPr>
        <w:t>范式</w:t>
      </w:r>
      <w:r>
        <w:rPr>
          <w:rFonts w:ascii="Times New Roman" w:hAnsi="Times New Roman" w:eastAsia="仿宋_GB2312"/>
          <w:sz w:val="32"/>
          <w:szCs w:val="32"/>
        </w:rPr>
        <w:t>中所列全部条款，可根据实际情况作适当补充。</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 〗”内文字为制定要求。</w:t>
      </w:r>
    </w:p>
    <w:p>
      <w:pPr>
        <w:spacing w:before="312" w:beforeLines="100" w:after="312" w:afterLines="100" w:line="595" w:lineRule="exact"/>
        <w:jc w:val="center"/>
        <w:rPr>
          <w:rFonts w:ascii="黑体" w:hAnsi="Times New Roman" w:eastAsia="黑体"/>
          <w:sz w:val="32"/>
          <w:szCs w:val="32"/>
        </w:rPr>
      </w:pP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第一章  总</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本基金会的名称是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基金会。〖基金会命名应当符合《基金会名称管理规定》〗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本基金会属于</w:t>
      </w:r>
      <w:r>
        <w:rPr>
          <w:rFonts w:hint="eastAsia" w:ascii="Times New Roman" w:hAnsi="Times New Roman" w:eastAsia="仿宋_GB2312"/>
          <w:sz w:val="32"/>
          <w:szCs w:val="32"/>
          <w:u w:val="single"/>
        </w:rPr>
        <w:t xml:space="preserve">      </w:t>
      </w:r>
      <w:r>
        <w:rPr>
          <w:rFonts w:ascii="Times New Roman" w:hAnsi="Times New Roman" w:eastAsia="仿宋_GB2312"/>
          <w:color w:val="0000FF"/>
          <w:sz w:val="32"/>
          <w:szCs w:val="32"/>
        </w:rPr>
        <w:t>〖公募或非公募〗</w:t>
      </w:r>
      <w:r>
        <w:rPr>
          <w:rFonts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本基金会面向公众募捐的地域范围是：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。〖公募基金会〗</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color w:val="0000FF"/>
          <w:sz w:val="32"/>
          <w:szCs w:val="32"/>
        </w:rPr>
        <w:t>本基金会遵守宪法、法律、法规和国家政策，践行社会主义核心价值观，遵守社会道德风尚。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本基金会的宗旨：</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本基金会的原始基金数额为人民币</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万元，来源于</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90" w:lineRule="exact"/>
        <w:ind w:firstLine="640" w:firstLineChars="200"/>
        <w:rPr>
          <w:rFonts w:eastAsia="仿宋_GB2312"/>
          <w:color w:val="0000FF"/>
          <w:sz w:val="32"/>
          <w:szCs w:val="32"/>
        </w:rPr>
      </w:pPr>
      <w:r>
        <w:rPr>
          <w:rFonts w:ascii="黑体" w:hAnsi="Times New Roman" w:eastAsia="黑体"/>
          <w:color w:val="0000FF"/>
          <w:sz w:val="32"/>
          <w:szCs w:val="32"/>
        </w:rPr>
        <w:t>第五条</w:t>
      </w:r>
      <w:r>
        <w:rPr>
          <w:rFonts w:ascii="Times New Roman" w:hAnsi="Times New Roman" w:eastAsia="仿宋_GB2312"/>
          <w:color w:val="0000FF"/>
          <w:sz w:val="32"/>
          <w:szCs w:val="32"/>
        </w:rPr>
        <w:t xml:space="preserve"> </w:t>
      </w:r>
      <w:r>
        <w:rPr>
          <w:rFonts w:hint="eastAsia" w:ascii="Times New Roman" w:hAnsi="Times New Roman" w:eastAsia="仿宋_GB2312"/>
          <w:color w:val="0000FF"/>
          <w:sz w:val="32"/>
          <w:szCs w:val="32"/>
        </w:rPr>
        <w:t xml:space="preserve"> 本基金会</w:t>
      </w:r>
      <w:r>
        <w:rPr>
          <w:rFonts w:hint="eastAsia" w:eastAsia="仿宋_GB2312"/>
          <w:color w:val="0000FF"/>
          <w:sz w:val="32"/>
          <w:szCs w:val="32"/>
        </w:rPr>
        <w:t>坚持中国共产党的全面领导，根据</w:t>
      </w:r>
      <w:r>
        <w:rPr>
          <w:rFonts w:eastAsia="仿宋_GB2312"/>
          <w:color w:val="0000FF"/>
          <w:sz w:val="32"/>
          <w:szCs w:val="32"/>
        </w:rPr>
        <w:t>中国共产党章程</w:t>
      </w:r>
      <w:r>
        <w:rPr>
          <w:rFonts w:hint="eastAsia" w:eastAsia="仿宋_GB2312"/>
          <w:color w:val="0000FF"/>
          <w:sz w:val="32"/>
          <w:szCs w:val="32"/>
        </w:rPr>
        <w:t>的</w:t>
      </w:r>
      <w:r>
        <w:rPr>
          <w:rFonts w:eastAsia="仿宋_GB2312"/>
          <w:color w:val="0000FF"/>
          <w:sz w:val="32"/>
          <w:szCs w:val="32"/>
        </w:rPr>
        <w:t>规定</w:t>
      </w:r>
      <w:r>
        <w:rPr>
          <w:rFonts w:hint="eastAsia" w:eastAsia="仿宋_GB2312"/>
          <w:color w:val="0000FF"/>
          <w:sz w:val="32"/>
          <w:szCs w:val="32"/>
        </w:rPr>
        <w:t>，</w:t>
      </w:r>
      <w:r>
        <w:rPr>
          <w:rFonts w:eastAsia="仿宋_GB2312"/>
          <w:color w:val="0000FF"/>
          <w:sz w:val="32"/>
          <w:szCs w:val="32"/>
        </w:rPr>
        <w:t>建立</w:t>
      </w:r>
      <w:r>
        <w:rPr>
          <w:rFonts w:hint="eastAsia" w:eastAsia="仿宋_GB2312"/>
          <w:color w:val="0000FF"/>
          <w:sz w:val="32"/>
          <w:szCs w:val="32"/>
        </w:rPr>
        <w:t>中国共产党的组织，开展党的活动，为党组织的活动提供必要条件</w:t>
      </w:r>
      <w:r>
        <w:rPr>
          <w:rStyle w:val="6"/>
          <w:rFonts w:eastAsia="仿宋_GB2312"/>
          <w:b w:val="0"/>
          <w:color w:val="0000FF"/>
          <w:sz w:val="32"/>
          <w:szCs w:val="32"/>
        </w:rPr>
        <w:t>。</w:t>
      </w:r>
    </w:p>
    <w:p>
      <w:pPr>
        <w:spacing w:line="595" w:lineRule="exact"/>
        <w:ind w:firstLine="645"/>
        <w:rPr>
          <w:rFonts w:ascii="Times New Roman" w:hAnsi="Times New Roman" w:eastAsia="仿宋_GB2312"/>
          <w:color w:val="0000FF"/>
          <w:sz w:val="32"/>
          <w:szCs w:val="32"/>
        </w:rPr>
      </w:pPr>
      <w:r>
        <w:rPr>
          <w:rFonts w:hint="eastAsia" w:ascii="Times New Roman" w:hAnsi="Times New Roman" w:eastAsia="仿宋_GB2312"/>
          <w:color w:val="0000FF"/>
          <w:sz w:val="32"/>
          <w:szCs w:val="32"/>
        </w:rPr>
        <w:t>本基金会的登记管理机关是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，党建工作机构是</w:t>
      </w:r>
      <w:r>
        <w:rPr>
          <w:rFonts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，业务主管单位是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。本基金会接受业务主管单位、党建工作机构、登记管理机关和有关业务管理部门的业务指导和监督管理。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本基金会的住所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本基金会公益活动的业务范围</w:t>
      </w:r>
      <w:r>
        <w:rPr>
          <w:rFonts w:hint="eastAsia" w:ascii="Times New Roman" w:hAnsi="Times New Roman" w:eastAsia="仿宋_GB2312"/>
          <w:sz w:val="32"/>
          <w:szCs w:val="32"/>
        </w:rPr>
        <w:t>：</w:t>
      </w:r>
      <w:r>
        <w:rPr>
          <w:rFonts w:ascii="Times New Roman" w:hAnsi="Times New Roman" w:eastAsia="仿宋_GB2312"/>
          <w:sz w:val="32"/>
          <w:szCs w:val="32"/>
        </w:rPr>
        <w:t>〖必须具体、明确〗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本基金会由</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本基金会理事每届任期为</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〖基金会理事人数不少于5人，且不多于25人。理事每届任期不得超过5年。〗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理事会换届改选时，由业务主管单位、理事会、</w:t>
      </w:r>
      <w:r>
        <w:rPr>
          <w:rFonts w:hint="eastAsia" w:ascii="Times New Roman" w:hAnsi="Times New Roman" w:eastAsia="仿宋_GB2312"/>
          <w:color w:val="0000FF"/>
          <w:sz w:val="32"/>
          <w:szCs w:val="32"/>
        </w:rPr>
        <w:t>基金会党组织</w:t>
      </w:r>
      <w:r>
        <w:rPr>
          <w:rFonts w:hint="eastAsia" w:ascii="Times New Roman" w:hAnsi="Times New Roman" w:eastAsia="仿宋_GB2312"/>
          <w:sz w:val="32"/>
          <w:szCs w:val="32"/>
        </w:rPr>
        <w:t>、主要捐赠人共同提名候选人并组织换届领导小组，组织全部候选人共同选举产生新一届理事。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（三）罢免、增补理事应当经理事会表决通过，报业务主管单位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审查同意；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〖用私人财产设立的非公募基金会应注明：相互间有近亲属关系的基金会理事，总数不得超过理事总人数的1/3；其他基金会应注明：具有近亲属关系的不得同时在理事会任职。〗</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（四）年度收支预算及决算审定；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（五）制定内部管理制度；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（七）决定由秘书长提名的副秘书长和各机构主要负责人的聘任；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（八）听取、审议秘书长的工作报告，检查秘书长的工作；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理事会每年召开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次〖至少2次〗会议。理事会会议由理事长负责召集和主持。</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有1/3理事提议，必须召开理事会会议。如理事长不能召集，提议理事可推选召集人。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召开理事会会议，理事长或召集人需提前5日通知全体理事、监事。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理事会会议须有2/3以上理事出席方能召开；理事会决议须经出席理事过半数通过方为有效。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下列重要事项的决议，须经出席理事表决，2/3以上通过方为有效：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本基金会设监事</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名。监事任期与理事任期相同，期满可以连任。〖3名以上监事可设监事会〗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监事的权利和义务：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监事列席理事会会议，有权向理事会提出质询和建议，并应当向登记管理机关、业务主管单位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以及税务、会计主管部门反映情况。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在本基金会领取报酬的理事不得超过理事总人数的1/3。监事和未在基金会担任专职工作的理事不得从基金会获取报酬。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本基金会理事长、副理事长、秘书长必须符合以下条件：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（二）理事长、副理事长、秘书长最高任职年龄不超过70周岁，秘书长为专职；</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（二）因犯罪被判处管制、拘役或者有期徒刑，刑期执行完毕之日起未逾5年的；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（四）曾在因违法被撤销登记的基金会担任理事长、副理事长或者秘书长，且对该基金会的违法行为负有个人责任，自该基金会被撤销之日起未逾5年的。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担任本基金会理事长、副理事长或者秘书长的香港居民、澳门居民、台湾居民以及外国人，每年在中国内地居留时间不得少于3个月。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本基金会的理事长、副理事长、秘书长每届任期</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年，连任不超过两届。</w:t>
      </w:r>
      <w:r>
        <w:rPr>
          <w:rFonts w:hint="eastAsia" w:ascii="Times New Roman" w:hAnsi="Times New Roman" w:eastAsia="仿宋_GB2312"/>
          <w:sz w:val="32"/>
          <w:szCs w:val="32"/>
        </w:rPr>
        <w:t>因特殊情况需超届连任的，须经理事会特殊程序表决通过，报业务主管单位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hint="eastAsia" w:ascii="Times New Roman" w:hAnsi="Times New Roman" w:eastAsia="仿宋_GB2312"/>
          <w:sz w:val="32"/>
          <w:szCs w:val="32"/>
        </w:rPr>
        <w:t>审查并经登记管理机关批准同意后，方可任职</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第二十七条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（一）召集和主持理事会会议；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（三）代表基金会签署重要文件；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本基金会为</w:t>
      </w:r>
      <w:r>
        <w:rPr>
          <w:rFonts w:hint="eastAsia" w:ascii="Times New Roman" w:hAnsi="Times New Roman" w:eastAsia="仿宋_GB2312"/>
          <w:sz w:val="32"/>
          <w:szCs w:val="32"/>
          <w:u w:val="single"/>
        </w:rPr>
        <w:t xml:space="preserve">      </w:t>
      </w:r>
      <w:r>
        <w:rPr>
          <w:rFonts w:eastAsia="仿宋_GB2312"/>
          <w:color w:val="0000FF"/>
          <w:sz w:val="32"/>
          <w:szCs w:val="32"/>
        </w:rPr>
        <w:t>〖公募或非公募〗</w:t>
      </w:r>
      <w:r>
        <w:rPr>
          <w:rFonts w:ascii="Times New Roman" w:hAnsi="Times New Roman" w:eastAsia="仿宋_GB2312"/>
          <w:sz w:val="32"/>
          <w:szCs w:val="32"/>
        </w:rPr>
        <w:t>基金会，本基金会的收入来源于：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〖可选项：组织募捐的收入</w:t>
      </w:r>
      <w:r>
        <w:rPr>
          <w:rFonts w:eastAsia="仿宋_GB2312"/>
          <w:color w:val="0000FF"/>
          <w:sz w:val="32"/>
          <w:szCs w:val="32"/>
        </w:rPr>
        <w:t>（公募基金会</w:t>
      </w:r>
      <w:r>
        <w:rPr>
          <w:rFonts w:hint="eastAsia" w:eastAsia="仿宋_GB2312"/>
          <w:color w:val="0000FF"/>
          <w:sz w:val="32"/>
          <w:szCs w:val="32"/>
        </w:rPr>
        <w:t>可选</w:t>
      </w:r>
      <w:r>
        <w:rPr>
          <w:rFonts w:eastAsia="仿宋_GB2312"/>
          <w:color w:val="0000FF"/>
          <w:sz w:val="32"/>
          <w:szCs w:val="32"/>
        </w:rPr>
        <w:t>）</w:t>
      </w:r>
      <w:r>
        <w:rPr>
          <w:rFonts w:ascii="Times New Roman" w:hAnsi="Times New Roman" w:eastAsia="仿宋_GB2312"/>
          <w:sz w:val="32"/>
          <w:szCs w:val="32"/>
        </w:rPr>
        <w:t>；自然人、法人或其他组织自愿捐赠；投资收益；其他合法收入等。非公募基金会可以注明提供主要捐赠的自然人、法人或其他组织的具体姓名或名称。〗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第三十条</w:t>
      </w:r>
      <w:r>
        <w:rPr>
          <w:rFonts w:ascii="Times New Roman" w:hAnsi="Times New Roman" w:eastAsia="仿宋_GB2312"/>
          <w:sz w:val="32"/>
          <w:szCs w:val="32"/>
        </w:rPr>
        <w:t xml:space="preserve"> 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本基金会组织募捐时，应当向社会公布募得资金后拟开展的公益活动和资金的详细使用计划。重大募捐活动应当报业务主管单位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和登记管理机关备案。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〖本条适用于公募基金会。〗 </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本基金会的财产及其他收入受法律保护，任何单位、个人不得侵占、私分、挪用。</w:t>
      </w:r>
      <w:r>
        <w:rPr>
          <w:rFonts w:hint="eastAsia" w:ascii="Times New Roman" w:hAnsi="Times New Roman" w:eastAsia="仿宋_GB2312"/>
          <w:color w:val="0000FF"/>
          <w:sz w:val="32"/>
          <w:szCs w:val="32"/>
        </w:rPr>
        <w:t>基金会财产及孳息不得用于分配。</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0000FF"/>
          <w:sz w:val="32"/>
          <w:szCs w:val="32"/>
        </w:rPr>
        <w:t>本基金会投入人对投入基金会的财产不保留或享有任何财产权利。</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本基金会每年用于从事章程规定的公益事业支出，不得低于上一年总收入的70%。</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公募基金会〗</w:t>
      </w:r>
    </w:p>
    <w:p>
      <w:pPr>
        <w:spacing w:line="59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本基金会每年用于从事章程规定的公益事业支出，不得低于上一年基金余额的8%。</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本基金会工作人员工资福利和行政办公支出不超过当年总支出的10%。</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第三十八条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本基金会每年1月1日至12月31日为业务及会计年度，每年3月31日前，理事会对下列事项进行审定：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（三）财产清册〖当年度捐赠者名册及有关资料〗。</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本基金会通过登记管理机关的年度检查后，将年度工作报告在登记管理机关指定的媒体上公布，接受社会公众的查询、监督。</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七</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本基金会有以下情形之一，应当终止：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八</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本基金会终止，应在理事会表决通过后15日内，报业务主管单位审查同意。经业务主管单位审查同意后15</w:t>
      </w:r>
      <w:r>
        <w:rPr>
          <w:rFonts w:hint="eastAsia" w:ascii="Times New Roman" w:hAnsi="Times New Roman" w:eastAsia="仿宋_GB2312"/>
          <w:sz w:val="32"/>
          <w:szCs w:val="32"/>
        </w:rPr>
        <w:t>日</w:t>
      </w:r>
      <w:r>
        <w:rPr>
          <w:rFonts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四十九</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本基金会办理注销登记前，应当在登记管理机关、业务主管单位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的指导下成立清算组织，完成清算工作。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本基金会应当自清算结束之日起15日内向登记管理机关办理注销登记；在清算期间不开展清算以外的活动。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第五十条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本基金会注销后的剩余财产，应当在业务主管单位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和登记管理机关的监督下，通过以下方式用于公益目的：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无法按照上述方式处理的，由登记管理机关组织捐赠给与本基金会性质、宗旨相同的社会公益组织，并向社会公告。</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章  章程修改</w:t>
      </w:r>
    </w:p>
    <w:p>
      <w:pPr>
        <w:spacing w:before="312" w:beforeLines="100" w:after="312" w:afterLines="100" w:line="595" w:lineRule="exact"/>
        <w:jc w:val="left"/>
        <w:rPr>
          <w:rFonts w:ascii="Times New Roman" w:hAnsi="Times New Roman" w:eastAsia="仿宋_GB2312"/>
          <w:sz w:val="32"/>
          <w:szCs w:val="32"/>
        </w:rPr>
      </w:pPr>
      <w:r>
        <w:rPr>
          <w:rFonts w:hint="eastAsia" w:ascii="黑体" w:hAnsi="Times New Roman" w:eastAsia="黑体"/>
          <w:sz w:val="32"/>
          <w:szCs w:val="32"/>
        </w:rPr>
        <w:t xml:space="preserve">    </w:t>
      </w:r>
      <w:r>
        <w:rPr>
          <w:rFonts w:ascii="黑体" w:hAnsi="Times New Roman" w:eastAsia="黑体"/>
          <w:sz w:val="32"/>
          <w:szCs w:val="32"/>
        </w:rPr>
        <w:t>第五十</w:t>
      </w:r>
      <w:r>
        <w:rPr>
          <w:rFonts w:hint="eastAsia" w:ascii="黑体" w:hAnsi="Times New Roman" w:eastAsia="黑体"/>
          <w:sz w:val="32"/>
          <w:szCs w:val="32"/>
        </w:rPr>
        <w:t>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本章程的修改，须经理事会表决通过后15日内，</w:t>
      </w:r>
      <w:r>
        <w:rPr>
          <w:rFonts w:hint="eastAsia" w:ascii="Times New Roman" w:hAnsi="Times New Roman" w:eastAsia="仿宋_GB2312"/>
          <w:sz w:val="32"/>
          <w:szCs w:val="32"/>
        </w:rPr>
        <w:t>报业务主管单位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审查同意。经业务主管单位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同意后，报登记管理机关核准</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b/>
          <w:bCs/>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五十二</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五十三</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本基金会党组织负责人，一般由本基金会秘书长以上负责人中的中共正式党员担任，如需要由其他同志担任的，报党建工作机构审核同意。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五十四</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探索建立开放式党组织和党小组，对党员有3名以上，但能接转组织关系的党员不足3名的，建立功能型、拓展型党组织。</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 xml:space="preserve">五十五条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五十六</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五十七</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五十八</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本基金会支持党组织对本基金会重要事项决策、重要业务活动、大额经费开支、接收大额捐赠、开展涉外活动等提出意见。</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八</w:t>
      </w:r>
      <w:r>
        <w:rPr>
          <w:rFonts w:ascii="黑体" w:hAnsi="Times New Roman" w:eastAsia="黑体"/>
          <w:sz w:val="32"/>
          <w:szCs w:val="32"/>
        </w:rPr>
        <w:t>章  附</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w:t>
      </w:r>
      <w:r>
        <w:rPr>
          <w:rFonts w:ascii="黑体" w:hAnsi="Times New Roman" w:eastAsia="黑体"/>
          <w:sz w:val="32"/>
          <w:szCs w:val="32"/>
        </w:rPr>
        <w:t>十</w:t>
      </w:r>
      <w:r>
        <w:rPr>
          <w:rFonts w:hint="eastAsia" w:ascii="黑体" w:hAnsi="Times New Roman" w:eastAsia="黑体"/>
          <w:sz w:val="32"/>
          <w:szCs w:val="32"/>
        </w:rPr>
        <w:t>九</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本章程经</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月</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六十</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w:t>
      </w:r>
      <w:r>
        <w:rPr>
          <w:rFonts w:ascii="黑体" w:hAnsi="Times New Roman" w:eastAsia="黑体"/>
          <w:sz w:val="32"/>
          <w:szCs w:val="32"/>
        </w:rPr>
        <w:t>第</w:t>
      </w:r>
      <w:r>
        <w:rPr>
          <w:rFonts w:hint="eastAsia" w:ascii="黑体" w:hAnsi="Times New Roman" w:eastAsia="黑体"/>
          <w:sz w:val="32"/>
          <w:szCs w:val="32"/>
        </w:rPr>
        <w:t>六十一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本章程自登记管理机关核准之日起生效。</w:t>
      </w:r>
    </w:p>
    <w:p>
      <w:pPr>
        <w:spacing w:line="360" w:lineRule="auto"/>
        <w:jc w:val="center"/>
        <w:rPr>
          <w:rFonts w:ascii="黑体" w:hAnsi="黑体" w:eastAsia="黑体"/>
        </w:rPr>
      </w:pPr>
    </w:p>
    <w:p/>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pPr>
    </w:p>
    <w:p>
      <w:pPr>
        <w:spacing w:line="580" w:lineRule="exact"/>
        <w:jc w:val="center"/>
        <w:rPr>
          <w:rFonts w:ascii="宋体" w:hAnsi="宋体"/>
          <w:b/>
          <w:sz w:val="44"/>
          <w:szCs w:val="44"/>
        </w:rPr>
        <w:sectPr>
          <w:pgSz w:w="11906" w:h="16838"/>
          <w:pgMar w:top="1440" w:right="1800" w:bottom="1440" w:left="1800" w:header="851" w:footer="992" w:gutter="0"/>
          <w:cols w:space="425" w:num="1"/>
          <w:docGrid w:type="lines" w:linePitch="312" w:charSpace="0"/>
        </w:sectPr>
      </w:pPr>
    </w:p>
    <w:p>
      <w:pPr>
        <w:spacing w:line="580" w:lineRule="exact"/>
        <w:jc w:val="center"/>
        <w:rPr>
          <w:rFonts w:ascii="宋体" w:hAnsi="宋体"/>
          <w:b/>
          <w:sz w:val="44"/>
          <w:szCs w:val="44"/>
        </w:rPr>
      </w:pPr>
      <w:r>
        <w:rPr>
          <w:rFonts w:ascii="宋体" w:hAnsi="宋体"/>
          <w:b/>
          <w:sz w:val="44"/>
          <w:szCs w:val="44"/>
        </w:rPr>
        <w:t>基金会</w:t>
      </w:r>
      <w:r>
        <w:rPr>
          <w:rFonts w:hint="eastAsia" w:ascii="宋体" w:hAnsi="宋体"/>
          <w:b/>
          <w:sz w:val="44"/>
          <w:szCs w:val="44"/>
        </w:rPr>
        <w:t>（慈善组织）</w:t>
      </w:r>
      <w:r>
        <w:rPr>
          <w:rFonts w:ascii="宋体" w:hAnsi="宋体"/>
          <w:b/>
          <w:sz w:val="44"/>
          <w:szCs w:val="44"/>
        </w:rPr>
        <w:t>章程</w:t>
      </w:r>
      <w:r>
        <w:rPr>
          <w:rFonts w:hint="eastAsia" w:ascii="宋体" w:hAnsi="宋体"/>
          <w:b/>
          <w:sz w:val="44"/>
          <w:szCs w:val="44"/>
        </w:rPr>
        <w:t>范式</w:t>
      </w:r>
    </w:p>
    <w:p>
      <w:pPr>
        <w:spacing w:before="312" w:beforeLines="100" w:after="312" w:afterLines="100" w:line="595" w:lineRule="exact"/>
        <w:jc w:val="center"/>
        <w:rPr>
          <w:rFonts w:ascii="黑体" w:hAnsi="Times New Roman" w:eastAsia="黑体"/>
          <w:sz w:val="32"/>
          <w:szCs w:val="32"/>
        </w:rPr>
      </w:pPr>
      <w:r>
        <w:rPr>
          <w:rFonts w:hint="eastAsia" w:ascii="黑体" w:hAnsi="Times New Roman" w:eastAsia="黑体"/>
          <w:sz w:val="32"/>
          <w:szCs w:val="32"/>
        </w:rPr>
        <w:t>说    明</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w:t>
      </w:r>
      <w:r>
        <w:rPr>
          <w:rFonts w:ascii="Times New Roman" w:hAnsi="Times New Roman" w:eastAsia="仿宋_GB2312"/>
          <w:sz w:val="32"/>
          <w:szCs w:val="32"/>
        </w:rPr>
        <w:t>、</w:t>
      </w:r>
      <w:r>
        <w:rPr>
          <w:rFonts w:hint="eastAsia" w:ascii="Times New Roman" w:hAnsi="Times New Roman" w:eastAsia="仿宋_GB2312"/>
          <w:sz w:val="32"/>
          <w:szCs w:val="32"/>
        </w:rPr>
        <w:t>根据2004年3月8日国务院颁布的《基金会管理条例》和其他有关法律法规制定此章程范式。</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w:t>
      </w:r>
      <w:r>
        <w:rPr>
          <w:rFonts w:ascii="Times New Roman" w:hAnsi="Times New Roman" w:eastAsia="仿宋_GB2312"/>
          <w:sz w:val="32"/>
          <w:szCs w:val="32"/>
        </w:rPr>
        <w:t>基金会章程</w:t>
      </w:r>
      <w:r>
        <w:rPr>
          <w:rFonts w:hint="eastAsia" w:ascii="Times New Roman" w:hAnsi="Times New Roman" w:eastAsia="仿宋_GB2312"/>
          <w:sz w:val="32"/>
          <w:szCs w:val="32"/>
        </w:rPr>
        <w:t>范式</w:t>
      </w:r>
      <w:r>
        <w:rPr>
          <w:rFonts w:ascii="Times New Roman" w:hAnsi="Times New Roman" w:eastAsia="仿宋_GB2312"/>
          <w:sz w:val="32"/>
          <w:szCs w:val="32"/>
        </w:rPr>
        <w:t>，旨在为基金会制定章程提供范例。</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三</w:t>
      </w:r>
      <w:r>
        <w:rPr>
          <w:rFonts w:ascii="Times New Roman" w:hAnsi="Times New Roman" w:eastAsia="仿宋_GB2312"/>
          <w:sz w:val="32"/>
          <w:szCs w:val="32"/>
        </w:rPr>
        <w:t>、基金会制定的章程，应当包括章程</w:t>
      </w:r>
      <w:r>
        <w:rPr>
          <w:rFonts w:hint="eastAsia" w:ascii="Times New Roman" w:hAnsi="Times New Roman" w:eastAsia="仿宋_GB2312"/>
          <w:sz w:val="32"/>
          <w:szCs w:val="32"/>
        </w:rPr>
        <w:t>范式</w:t>
      </w:r>
      <w:r>
        <w:rPr>
          <w:rFonts w:ascii="Times New Roman" w:hAnsi="Times New Roman" w:eastAsia="仿宋_GB2312"/>
          <w:sz w:val="32"/>
          <w:szCs w:val="32"/>
        </w:rPr>
        <w:t>中所列全部条款，可根据实际情况作适当补充。</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四</w:t>
      </w:r>
      <w:r>
        <w:rPr>
          <w:rFonts w:ascii="Times New Roman" w:hAnsi="Times New Roman" w:eastAsia="仿宋_GB2312"/>
          <w:sz w:val="32"/>
          <w:szCs w:val="32"/>
        </w:rPr>
        <w:t>、“〖 〗”内文字为制定要求。</w:t>
      </w:r>
    </w:p>
    <w:p>
      <w:pPr>
        <w:spacing w:before="312" w:beforeLines="100" w:after="312" w:afterLines="100" w:line="595" w:lineRule="exact"/>
        <w:jc w:val="center"/>
        <w:rPr>
          <w:rFonts w:ascii="黑体" w:hAnsi="Times New Roman" w:eastAsia="黑体"/>
          <w:sz w:val="32"/>
          <w:szCs w:val="32"/>
        </w:rPr>
      </w:pP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第一章  总</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第一条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本基金会的名称是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基金会。〖基金会命名应当符合《基金会名称管理规定》〗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本基金会属于</w:t>
      </w:r>
      <w:r>
        <w:rPr>
          <w:rFonts w:hint="eastAsia" w:ascii="Times New Roman" w:hAnsi="Times New Roman" w:eastAsia="仿宋_GB2312"/>
          <w:sz w:val="32"/>
          <w:szCs w:val="32"/>
          <w:u w:val="single"/>
        </w:rPr>
        <w:t xml:space="preserve">      </w:t>
      </w:r>
      <w:r>
        <w:rPr>
          <w:rFonts w:ascii="Times New Roman" w:hAnsi="Times New Roman" w:eastAsia="仿宋_GB2312"/>
          <w:color w:val="0000FF"/>
          <w:sz w:val="32"/>
          <w:szCs w:val="32"/>
        </w:rPr>
        <w:t>〖公募或非公募</w:t>
      </w:r>
      <w:r>
        <w:rPr>
          <w:rFonts w:hint="eastAsia" w:ascii="Times New Roman" w:hAnsi="Times New Roman" w:eastAsia="仿宋_GB2312"/>
          <w:color w:val="0000FF"/>
          <w:sz w:val="32"/>
          <w:szCs w:val="32"/>
        </w:rPr>
        <w:t>或已取得公募资格</w:t>
      </w:r>
      <w:r>
        <w:rPr>
          <w:rFonts w:ascii="Times New Roman" w:hAnsi="Times New Roman" w:eastAsia="仿宋_GB2312"/>
          <w:color w:val="0000FF"/>
          <w:sz w:val="32"/>
          <w:szCs w:val="32"/>
        </w:rPr>
        <w:t>〗</w:t>
      </w:r>
      <w:r>
        <w:rPr>
          <w:rFonts w:ascii="Times New Roman" w:hAnsi="Times New Roman" w:eastAsia="仿宋_GB2312"/>
          <w:sz w:val="32"/>
          <w:szCs w:val="32"/>
        </w:rPr>
        <w:t>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本基金会面向公众募捐的地域范围是：</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。〖公募基金会〗</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hint="eastAsia" w:ascii="Times New Roman" w:hAnsi="Times New Roman" w:eastAsia="仿宋_GB2312"/>
          <w:color w:val="0000FF"/>
          <w:sz w:val="32"/>
          <w:szCs w:val="32"/>
        </w:rPr>
        <w:t>本基金会遵守宪法、法律、法规和国家政策，践行社会主义核心价值观，遵守社会道德风尚。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本基金会的宗旨：</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本基金会的原始基金数额为人民币</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万元，来源于</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adjustRightInd w:val="0"/>
        <w:snapToGrid w:val="0"/>
        <w:spacing w:line="590" w:lineRule="exact"/>
        <w:ind w:firstLine="640" w:firstLineChars="200"/>
        <w:rPr>
          <w:rFonts w:eastAsia="仿宋_GB2312"/>
          <w:color w:val="0000FF"/>
          <w:sz w:val="32"/>
          <w:szCs w:val="32"/>
        </w:rPr>
      </w:pPr>
      <w:r>
        <w:rPr>
          <w:rFonts w:ascii="黑体" w:hAnsi="Times New Roman" w:eastAsia="黑体"/>
          <w:color w:val="0000FF"/>
          <w:sz w:val="32"/>
          <w:szCs w:val="32"/>
        </w:rPr>
        <w:t>第五条</w:t>
      </w:r>
      <w:r>
        <w:rPr>
          <w:rFonts w:ascii="Times New Roman" w:hAnsi="Times New Roman" w:eastAsia="仿宋_GB2312"/>
          <w:color w:val="0000FF"/>
          <w:sz w:val="32"/>
          <w:szCs w:val="32"/>
        </w:rPr>
        <w:t xml:space="preserve"> </w:t>
      </w:r>
      <w:r>
        <w:rPr>
          <w:rFonts w:hint="eastAsia" w:ascii="Times New Roman" w:hAnsi="Times New Roman" w:eastAsia="仿宋_GB2312"/>
          <w:color w:val="0000FF"/>
          <w:sz w:val="32"/>
          <w:szCs w:val="32"/>
        </w:rPr>
        <w:t xml:space="preserve"> 本基金会</w:t>
      </w:r>
      <w:r>
        <w:rPr>
          <w:rFonts w:hint="eastAsia" w:eastAsia="仿宋_GB2312"/>
          <w:color w:val="0000FF"/>
          <w:sz w:val="32"/>
          <w:szCs w:val="32"/>
        </w:rPr>
        <w:t>坚持中国共产党的全面领导，根据</w:t>
      </w:r>
      <w:r>
        <w:rPr>
          <w:rFonts w:eastAsia="仿宋_GB2312"/>
          <w:color w:val="0000FF"/>
          <w:sz w:val="32"/>
          <w:szCs w:val="32"/>
        </w:rPr>
        <w:t>中国共产党章程</w:t>
      </w:r>
      <w:r>
        <w:rPr>
          <w:rFonts w:hint="eastAsia" w:eastAsia="仿宋_GB2312"/>
          <w:color w:val="0000FF"/>
          <w:sz w:val="32"/>
          <w:szCs w:val="32"/>
        </w:rPr>
        <w:t>的</w:t>
      </w:r>
      <w:r>
        <w:rPr>
          <w:rFonts w:eastAsia="仿宋_GB2312"/>
          <w:color w:val="0000FF"/>
          <w:sz w:val="32"/>
          <w:szCs w:val="32"/>
        </w:rPr>
        <w:t>规定</w:t>
      </w:r>
      <w:r>
        <w:rPr>
          <w:rFonts w:hint="eastAsia" w:eastAsia="仿宋_GB2312"/>
          <w:color w:val="0000FF"/>
          <w:sz w:val="32"/>
          <w:szCs w:val="32"/>
        </w:rPr>
        <w:t>，</w:t>
      </w:r>
      <w:r>
        <w:rPr>
          <w:rFonts w:eastAsia="仿宋_GB2312"/>
          <w:color w:val="0000FF"/>
          <w:sz w:val="32"/>
          <w:szCs w:val="32"/>
        </w:rPr>
        <w:t>建立</w:t>
      </w:r>
      <w:r>
        <w:rPr>
          <w:rFonts w:hint="eastAsia" w:eastAsia="仿宋_GB2312"/>
          <w:color w:val="0000FF"/>
          <w:sz w:val="32"/>
          <w:szCs w:val="32"/>
        </w:rPr>
        <w:t>中国共产党的组织，开展党的活动，为党组织的活动提供必要条件</w:t>
      </w:r>
      <w:r>
        <w:rPr>
          <w:rStyle w:val="6"/>
          <w:rFonts w:eastAsia="仿宋_GB2312"/>
          <w:color w:val="0000FF"/>
          <w:sz w:val="32"/>
          <w:szCs w:val="32"/>
        </w:rPr>
        <w:t>。</w:t>
      </w:r>
    </w:p>
    <w:p>
      <w:pPr>
        <w:spacing w:line="595" w:lineRule="exact"/>
        <w:ind w:firstLine="645"/>
        <w:rPr>
          <w:rFonts w:ascii="Times New Roman" w:hAnsi="Times New Roman" w:eastAsia="仿宋_GB2312"/>
          <w:color w:val="0000FF"/>
          <w:sz w:val="32"/>
          <w:szCs w:val="32"/>
        </w:rPr>
      </w:pPr>
      <w:r>
        <w:rPr>
          <w:rFonts w:hint="eastAsia" w:ascii="Times New Roman" w:hAnsi="Times New Roman" w:eastAsia="仿宋_GB2312"/>
          <w:color w:val="0000FF"/>
          <w:sz w:val="32"/>
          <w:szCs w:val="32"/>
        </w:rPr>
        <w:t>本基金会的登记管理机关是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，党建工作机构是</w:t>
      </w:r>
      <w:r>
        <w:rPr>
          <w:rFonts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，业务主管单位是</w:t>
      </w:r>
      <w:r>
        <w:rPr>
          <w:rFonts w:hint="eastAsia" w:ascii="Times New Roman" w:hAnsi="Times New Roman" w:eastAsia="仿宋_GB2312"/>
          <w:color w:val="0000FF"/>
          <w:sz w:val="32"/>
          <w:szCs w:val="32"/>
          <w:u w:val="single"/>
        </w:rPr>
        <w:t xml:space="preserve">          </w:t>
      </w:r>
      <w:r>
        <w:rPr>
          <w:rFonts w:hint="eastAsia" w:ascii="Times New Roman" w:hAnsi="Times New Roman" w:eastAsia="仿宋_GB2312"/>
          <w:color w:val="0000FF"/>
          <w:sz w:val="32"/>
          <w:szCs w:val="32"/>
        </w:rPr>
        <w:t>。本基金会接受业务主管单位、党建工作机构、登记管理机关和有关业务管理部门的业务指导和监督管理。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本基金会的住所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第二章  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本基金会公益活动的业务范围</w:t>
      </w:r>
      <w:r>
        <w:rPr>
          <w:rFonts w:hint="eastAsia" w:ascii="Times New Roman" w:hAnsi="Times New Roman" w:eastAsia="仿宋_GB2312"/>
          <w:sz w:val="32"/>
          <w:szCs w:val="32"/>
        </w:rPr>
        <w:t>：</w:t>
      </w:r>
      <w:r>
        <w:rPr>
          <w:rFonts w:ascii="Times New Roman" w:hAnsi="Times New Roman" w:eastAsia="仿宋_GB2312"/>
          <w:sz w:val="32"/>
          <w:szCs w:val="32"/>
        </w:rPr>
        <w:t>〖必须具体、明确〗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第三章  组织机构、负责人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本基金会由</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名理事组成理事会。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本基金会理事每届任期为</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年，任期届满，连选可以连任。</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〖基金会理事人数不少于5人，且不多于25人。理事每届任期不得超过5年。〗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理事的资格：</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（一）第一届理事由业务主管单位、主要捐赠人、发起人分别提名并共同协商确定。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rPr>
        <w:t>理事会换届改选时，由业务主管单位、理事会、</w:t>
      </w:r>
      <w:r>
        <w:rPr>
          <w:rFonts w:hint="eastAsia" w:ascii="Times New Roman" w:hAnsi="Times New Roman" w:eastAsia="仿宋_GB2312"/>
          <w:color w:val="0000FF"/>
          <w:sz w:val="32"/>
          <w:szCs w:val="32"/>
        </w:rPr>
        <w:t>基金会党组织</w:t>
      </w:r>
      <w:r>
        <w:rPr>
          <w:rFonts w:hint="eastAsia" w:ascii="Times New Roman" w:hAnsi="Times New Roman" w:eastAsia="仿宋_GB2312"/>
          <w:sz w:val="32"/>
          <w:szCs w:val="32"/>
        </w:rPr>
        <w:t>、主要捐赠人共同提名候选人并组织换届领导小组，组织全部候选人共同选举产生新一届理事。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（三）罢免、增补理事应当经理事会表决通过，报业务主管单位</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无业务主管单位的为</w:t>
      </w:r>
      <w:r>
        <w:rPr>
          <w:rFonts w:ascii="Times New Roman" w:hAnsi="Times New Roman" w:eastAsia="仿宋_GB2312"/>
          <w:color w:val="0000FF"/>
          <w:sz w:val="32"/>
          <w:szCs w:val="32"/>
        </w:rPr>
        <w:t>党建</w:t>
      </w:r>
      <w:r>
        <w:rPr>
          <w:rFonts w:hint="eastAsia" w:ascii="Times New Roman" w:hAnsi="Times New Roman" w:eastAsia="仿宋_GB2312"/>
          <w:color w:val="0000FF"/>
          <w:sz w:val="32"/>
          <w:szCs w:val="32"/>
        </w:rPr>
        <w:t>工作机构</w:t>
      </w:r>
      <w:r>
        <w:rPr>
          <w:rFonts w:ascii="Times New Roman" w:hAnsi="Times New Roman" w:eastAsia="仿宋_GB2312"/>
          <w:color w:val="0000FF"/>
          <w:sz w:val="32"/>
          <w:szCs w:val="32"/>
        </w:rPr>
        <w:t>〗</w:t>
      </w:r>
      <w:r>
        <w:rPr>
          <w:rFonts w:ascii="Times New Roman" w:hAnsi="Times New Roman" w:eastAsia="仿宋_GB2312"/>
          <w:sz w:val="32"/>
          <w:szCs w:val="32"/>
        </w:rPr>
        <w:t>审查同意；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（四）理事的选举和罢免结果报登记管理机关备案。</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（五）</w:t>
      </w:r>
      <w:r>
        <w:rPr>
          <w:rFonts w:ascii="Times New Roman" w:hAnsi="Times New Roman" w:eastAsia="仿宋_GB2312"/>
          <w:sz w:val="32"/>
          <w:szCs w:val="32"/>
        </w:rPr>
        <w:t>〖用私人财产设立的非公募基金会应注明：相互间有近亲属关系的基金会理事，总数不得超过理事总人数的1/3；其他基金会应注明：具有近亲属关系的不得同时在理事会任职。〗</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理事的权利和义务：</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本基金会的决策机构是理事会。理事会行使下列职权：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（一）制定、修改章程；</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（三）决定重大业务活动计划，包括资金的募集、管理和使用计划；</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（四）年度收支预算及决算审定；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（五）制定内部管理制度；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（六）决定设立办事机构、分支机构、代表机构；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（七）决定由秘书长提名的副秘书长和各机构主要负责人的聘任；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（八）听取、审议秘书长的工作报告，检查秘书长的工作；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（九）决定基金会的分立、合并或终止；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（十）决定其他重大事项。</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理事会每年召开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次〖至少2次〗会议。理事会会议由理事长负责召集和主持。</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有1/3理事提议，必须召开理事会会议。如理事长不能召集，提议理事可推选召集人。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召开理事会会议，理事长或召集人需提前5日通知全体理事、监事。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理事会会议须有2/3以上理事出席方能召开；理事会决议须经出席理事过半数通过方为有效。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下列重要事项的决议，须经出席理事表决，2/3以上通过方为有效：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（一）章程的修改；</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（二）选举或者罢免理事长、副理事长、秘书长；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（三）章程规定的重大募捐、投资活动；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（四）基金会的分立、合并；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第十五条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理事会会议应当制作会议记录。形成决议的，应当当场制作会议纪要，并由出席理事审阅、签名。理事会决议违反法律、法规或章程规定，致使基金会遭受损失的，参与决议的理事应当承担责任。但经证明在表决时反对并记载于会议记录的，该理事可免除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本基金会设监事</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名。监事任期与理事任期相同，期满可以连任。〖3名以上监事可设监事会。〗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pacing w:val="-14"/>
          <w:sz w:val="32"/>
          <w:szCs w:val="32"/>
        </w:rPr>
        <w:t>理事、理事的近亲属和基金会财会人员不得任监事。</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监事的产生和罢免：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（一）监事由主要捐赠人、业务主管单位分别选派；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（二）登记管理机关根据工作需要选派；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（三）监事的变更依照其产生程序。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监事的权利和义务：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监事依照章程规定的程序检查基金会财务和会计资料，监督理事会遵守法律和章程的情况。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监事列席理事会会议，有权向理事会提出质询和建议，并应当向登记管理机关、业务主管单位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以及税务、会计主管部门反映情况。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监事应当遵守有关法律法规和基金会章程，忠实履行职责。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在本基金会领取报酬的理事不得超过理事总人数的1/3。监事和未在基金会担任专职工作的理事不得从基金会获取报酬。</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本基金会理事遇有个人利益与基金会利益关联时，不得参与相关事宜的决策；基金会理事、监事及其近亲属不得与基金会有任何交易行为。</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理事会设理事长、副理事长和秘书长，从理事中选举产生。</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本基金会理事长、副理事长、秘书长必须符合以下条件：</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（一）在本基金会业务领域内有较大影响；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（二）理事长、副理事长、秘书长最高任职年龄不超过70周岁，秘书长为专职；</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（三）身体健康，能坚持正常工作；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（四）具有完全民事行为能力。</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有下列情形之一的人员，不能担任本基金会的理事长、副理事长、秘书长：</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（一）属于现职国家工作人员的；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（二）因犯罪被判处管制、拘役或者有期徒刑，刑期执行完毕之日起未逾5年的；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（三）因犯罪被判处剥夺政治权利正在执行期间或者曾经被判处剥夺政治权利的；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（四）曾在因违法被撤销登记的基金会担任理事长、副理事长或者秘书长，且对该基金会的违法行为负有个人责任，自该基金会被撤销之日起未逾5年的。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担任本基金会理事长、副理事长或者秘书长的香港居民、澳门居民、台湾居民以及外国人，每年在中国内地居留时间不得少于3个月。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〖本条适用于理事长、副理事长或者秘书长由境外人士担任的基金会。〗</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本基金会的理事长、副理事长、秘书长每届任期</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年，连任不超过两届。</w:t>
      </w:r>
      <w:r>
        <w:rPr>
          <w:rFonts w:hint="eastAsia" w:ascii="Times New Roman" w:hAnsi="Times New Roman" w:eastAsia="仿宋_GB2312"/>
          <w:sz w:val="32"/>
          <w:szCs w:val="32"/>
        </w:rPr>
        <w:t>因特殊情况需超届连任的，须经理事会特殊程序表决通过，报业务主管单位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审查并经登记管理机关批准同意后，方可任职</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第二十七条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本基金会理事长为基金会法定代表人。本基金会法定代表人不兼任其他组织的法定代表人。</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本基金会法定代表人应当由中国内地居民担任。〖本款适用于公募基金会和原始基金来自中国内地的非公募基金会。〗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法定代表人在任期间，基金会发生违反《基金会管理条例》和本章程的行为，法定代表人应当承担相关责任。因法定代表人失职，导致基金会发生违法行为或基金会财产损失的，法定代表人应当承担个人责任。</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第二十八条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本基金会理事长行使下列职权：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（一）召集和主持理事会会议；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（二）检查理事会决议的落实情况；</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（三）代表基金会签署重要文件； </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本基金会副理事长、秘书长在理事长领导下开展工作，秘书长行使下列职权：</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〖理事长的其他职权和秘书长的职权从以下选项中确定，理事长和秘书长的职权不能重叠，基金会可根据实际情况细化或进行补充：</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①</w:t>
      </w:r>
      <w:r>
        <w:rPr>
          <w:rFonts w:ascii="Times New Roman" w:hAnsi="Times New Roman" w:eastAsia="仿宋_GB2312"/>
          <w:sz w:val="32"/>
          <w:szCs w:val="32"/>
        </w:rPr>
        <w:t>主持开展日常工作，组织实施理事会决议；</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②</w:t>
      </w:r>
      <w:r>
        <w:rPr>
          <w:rFonts w:ascii="Times New Roman" w:hAnsi="Times New Roman" w:eastAsia="仿宋_GB2312"/>
          <w:sz w:val="32"/>
          <w:szCs w:val="32"/>
        </w:rPr>
        <w:t>组织实施基金会年度公益活动计划；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③</w:t>
      </w:r>
      <w:r>
        <w:rPr>
          <w:rFonts w:ascii="Times New Roman" w:hAnsi="Times New Roman" w:eastAsia="仿宋_GB2312"/>
          <w:sz w:val="32"/>
          <w:szCs w:val="32"/>
        </w:rPr>
        <w:t>拟订资金的筹集、管理和使用计划；</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④</w:t>
      </w:r>
      <w:r>
        <w:rPr>
          <w:rFonts w:ascii="Times New Roman" w:hAnsi="Times New Roman" w:eastAsia="仿宋_GB2312"/>
          <w:sz w:val="32"/>
          <w:szCs w:val="32"/>
        </w:rPr>
        <w:t>拟订基金会的内部管理规章制度，报理事会审批；</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⑤</w:t>
      </w:r>
      <w:r>
        <w:rPr>
          <w:rFonts w:ascii="Times New Roman" w:hAnsi="Times New Roman" w:eastAsia="仿宋_GB2312"/>
          <w:sz w:val="32"/>
          <w:szCs w:val="32"/>
        </w:rPr>
        <w:t>协调各机构开展工作；</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⑥</w:t>
      </w:r>
      <w:r>
        <w:rPr>
          <w:rFonts w:ascii="Times New Roman" w:hAnsi="Times New Roman" w:eastAsia="仿宋_GB2312"/>
          <w:spacing w:val="-6"/>
          <w:sz w:val="32"/>
          <w:szCs w:val="32"/>
        </w:rPr>
        <w:t>提议聘任或解聘副秘书长以及财务负责人，由理事会决定；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⑦</w:t>
      </w:r>
      <w:r>
        <w:rPr>
          <w:rFonts w:ascii="Times New Roman" w:hAnsi="Times New Roman" w:eastAsia="仿宋_GB2312"/>
          <w:sz w:val="32"/>
          <w:szCs w:val="32"/>
        </w:rPr>
        <w:t>提议聘任或解聘各机构主要负责人，由理事会决定；</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⑧</w:t>
      </w:r>
      <w:r>
        <w:rPr>
          <w:rFonts w:ascii="Times New Roman" w:hAnsi="Times New Roman" w:eastAsia="仿宋_GB2312"/>
          <w:sz w:val="32"/>
          <w:szCs w:val="32"/>
        </w:rPr>
        <w:t>决定各机构专职工作人员聘用；</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⑨</w:t>
      </w:r>
      <w:r>
        <w:rPr>
          <w:rFonts w:ascii="Times New Roman" w:hAnsi="Times New Roman" w:eastAsia="仿宋_GB2312"/>
          <w:sz w:val="32"/>
          <w:szCs w:val="32"/>
        </w:rPr>
        <w:t>章程和理事会赋予的其他职权；</w:t>
      </w:r>
    </w:p>
    <w:p>
      <w:pPr>
        <w:spacing w:line="595" w:lineRule="exact"/>
        <w:ind w:firstLine="645"/>
        <w:rPr>
          <w:rFonts w:ascii="Times New Roman" w:hAnsi="Times New Roman" w:eastAsia="仿宋_GB2312"/>
          <w:sz w:val="32"/>
          <w:szCs w:val="32"/>
        </w:rPr>
      </w:pPr>
      <w:r>
        <w:rPr>
          <w:rFonts w:hint="eastAsia" w:ascii="宋体" w:hAnsi="宋体" w:cs="宋体"/>
          <w:sz w:val="32"/>
          <w:szCs w:val="32"/>
        </w:rPr>
        <w:t>⑩</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第四章  财产的管理和使用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第二十九条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本基金会为</w:t>
      </w:r>
      <w:r>
        <w:rPr>
          <w:rFonts w:hint="eastAsia" w:ascii="Times New Roman" w:hAnsi="Times New Roman" w:eastAsia="仿宋_GB2312"/>
          <w:sz w:val="32"/>
          <w:szCs w:val="32"/>
          <w:u w:val="single"/>
        </w:rPr>
        <w:t xml:space="preserve">      </w:t>
      </w:r>
      <w:r>
        <w:rPr>
          <w:rFonts w:eastAsia="仿宋_GB2312"/>
          <w:color w:val="0000FF"/>
          <w:sz w:val="32"/>
          <w:szCs w:val="32"/>
        </w:rPr>
        <w:t>〖</w:t>
      </w:r>
      <w:r>
        <w:rPr>
          <w:rFonts w:ascii="Times New Roman" w:hAnsi="Times New Roman" w:eastAsia="仿宋_GB2312"/>
          <w:color w:val="0000FF"/>
          <w:sz w:val="32"/>
          <w:szCs w:val="32"/>
        </w:rPr>
        <w:t>公募或非公募</w:t>
      </w:r>
      <w:r>
        <w:rPr>
          <w:rFonts w:hint="eastAsia" w:ascii="Times New Roman" w:hAnsi="Times New Roman" w:eastAsia="仿宋_GB2312"/>
          <w:color w:val="0000FF"/>
          <w:sz w:val="32"/>
          <w:szCs w:val="32"/>
        </w:rPr>
        <w:t>或已取得公募资格</w:t>
      </w:r>
      <w:r>
        <w:rPr>
          <w:rFonts w:eastAsia="仿宋_GB2312"/>
          <w:color w:val="0000FF"/>
          <w:sz w:val="32"/>
          <w:szCs w:val="32"/>
        </w:rPr>
        <w:t>〗</w:t>
      </w:r>
      <w:r>
        <w:rPr>
          <w:rFonts w:ascii="Times New Roman" w:hAnsi="Times New Roman" w:eastAsia="仿宋_GB2312"/>
          <w:sz w:val="32"/>
          <w:szCs w:val="32"/>
        </w:rPr>
        <w:t>基金会，本基金会的收入来源于：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〖可选项：组织募捐的收入</w:t>
      </w:r>
      <w:r>
        <w:rPr>
          <w:rFonts w:eastAsia="仿宋_GB2312"/>
          <w:color w:val="0000FF"/>
          <w:sz w:val="32"/>
          <w:szCs w:val="32"/>
        </w:rPr>
        <w:t>（公募基金会</w:t>
      </w:r>
      <w:r>
        <w:rPr>
          <w:rFonts w:hint="eastAsia" w:eastAsia="仿宋_GB2312"/>
          <w:color w:val="0000FF"/>
          <w:sz w:val="32"/>
          <w:szCs w:val="32"/>
        </w:rPr>
        <w:t>可选</w:t>
      </w:r>
      <w:r>
        <w:rPr>
          <w:rFonts w:eastAsia="仿宋_GB2312"/>
          <w:color w:val="0000FF"/>
          <w:sz w:val="32"/>
          <w:szCs w:val="32"/>
        </w:rPr>
        <w:t>）</w:t>
      </w:r>
      <w:r>
        <w:rPr>
          <w:rFonts w:ascii="Times New Roman" w:hAnsi="Times New Roman" w:eastAsia="仿宋_GB2312"/>
          <w:sz w:val="32"/>
          <w:szCs w:val="32"/>
        </w:rPr>
        <w:t>；自然人、法人或其他组织自愿捐赠；投资收益；其他合法收入等。非公募基金会可以注明提供主要捐赠的自然人、法人或其他组织的具体姓名或名称。〗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第三十条</w:t>
      </w:r>
      <w:r>
        <w:rPr>
          <w:rFonts w:ascii="Times New Roman" w:hAnsi="Times New Roman" w:eastAsia="仿宋_GB2312"/>
          <w:sz w:val="32"/>
          <w:szCs w:val="32"/>
        </w:rPr>
        <w:t xml:space="preserve"> 本基金会组织募捐〖非公募基金会无此项〗、接受捐赠，应当遵守法律法规，符合章程规定的宗旨和公益活动的业务范围。</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第三十一条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本基金会组织募捐时，应当向社会公布募得资金后拟开展的公益活动和资金的详细使用计划。重大募捐活动应当报业务主管单位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和登记管理机关备案。</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本基金会组织募捐，不得以任何形式进行摊派及变相摊派。</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〖本条适用于公募基金会。〗 </w:t>
      </w:r>
    </w:p>
    <w:p>
      <w:pPr>
        <w:spacing w:line="595" w:lineRule="exact"/>
        <w:ind w:firstLine="645"/>
        <w:rPr>
          <w:rFonts w:ascii="Times New Roman" w:hAnsi="Times New Roman" w:eastAsia="仿宋_GB2312"/>
          <w:color w:val="0000FF"/>
          <w:sz w:val="32"/>
          <w:szCs w:val="32"/>
        </w:rPr>
      </w:pPr>
      <w:r>
        <w:rPr>
          <w:rFonts w:ascii="黑体" w:hAnsi="Times New Roman" w:eastAsia="黑体"/>
          <w:sz w:val="32"/>
          <w:szCs w:val="32"/>
        </w:rPr>
        <w:t>第三十二条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本基金会的财产及其他收入受法律保护，任何单位、个人不得侵占、私分、挪用。</w:t>
      </w:r>
    </w:p>
    <w:p>
      <w:pPr>
        <w:spacing w:line="595" w:lineRule="exact"/>
        <w:ind w:firstLine="645"/>
        <w:rPr>
          <w:rFonts w:ascii="Times New Roman" w:hAnsi="Times New Roman" w:eastAsia="仿宋_GB2312"/>
          <w:color w:val="FF0000"/>
          <w:sz w:val="32"/>
          <w:szCs w:val="32"/>
        </w:rPr>
      </w:pPr>
      <w:r>
        <w:rPr>
          <w:rFonts w:hint="eastAsia" w:ascii="Times New Roman" w:hAnsi="Times New Roman" w:eastAsia="仿宋_GB2312"/>
          <w:color w:val="0000FF"/>
          <w:sz w:val="32"/>
          <w:szCs w:val="32"/>
        </w:rPr>
        <w:t>本基金会投入人对投入基金会的财产不保留或享有任何财产权利。基金会财产及孳息不得用于分配。</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第三十三条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本基金会根据章程规定的宗旨和公益活动的业务范围使用财产；捐赠协议明确了具体使用方式的捐赠，根据捐赠协议的约定使用。</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接受捐赠的物资无法用于符合本基金会宗旨的用途时，基金会可以依法拍卖或者变卖，所得收入用于捐赠目的。</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第三十四条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本基金会财产主要用于：</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本基金会的重大募捐、投资活动是指：</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本基金会按照合法、安全、有效的原则实现基金的保值、增值。</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第三十七条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本基金会每年用于从事章程规定的公益事业支出，不得低于上一年总收入的70%。</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公募基金会</w:t>
      </w:r>
      <w:r>
        <w:rPr>
          <w:rFonts w:hint="eastAsia" w:ascii="Times New Roman" w:hAnsi="Times New Roman" w:eastAsia="仿宋_GB2312"/>
          <w:color w:val="0000FF"/>
          <w:sz w:val="32"/>
          <w:szCs w:val="32"/>
        </w:rPr>
        <w:t>。</w:t>
      </w:r>
      <w:r>
        <w:rPr>
          <w:rFonts w:ascii="Times New Roman" w:hAnsi="Times New Roman" w:eastAsia="仿宋_GB2312"/>
          <w:color w:val="0000FF"/>
          <w:sz w:val="32"/>
          <w:szCs w:val="32"/>
        </w:rPr>
        <w:t>〗</w:t>
      </w:r>
    </w:p>
    <w:p>
      <w:pPr>
        <w:spacing w:line="595"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本基金会每年用于从事章程规定的公益事业支出，不得低于上一年基金余额的8%。</w:t>
      </w:r>
      <w:r>
        <w:rPr>
          <w:rFonts w:ascii="Times New Roman" w:hAnsi="Times New Roman" w:eastAsia="仿宋_GB2312"/>
          <w:color w:val="0000FF"/>
          <w:sz w:val="32"/>
          <w:szCs w:val="32"/>
        </w:rPr>
        <w:t>〖</w:t>
      </w:r>
      <w:r>
        <w:rPr>
          <w:rFonts w:hint="eastAsia" w:ascii="Times New Roman" w:hAnsi="Times New Roman" w:eastAsia="仿宋_GB2312"/>
          <w:color w:val="0000FF"/>
          <w:sz w:val="32"/>
          <w:szCs w:val="32"/>
        </w:rPr>
        <w:t>适用于</w:t>
      </w:r>
      <w:r>
        <w:rPr>
          <w:rFonts w:ascii="Times New Roman" w:hAnsi="Times New Roman" w:eastAsia="仿宋_GB2312"/>
          <w:color w:val="0000FF"/>
          <w:sz w:val="32"/>
          <w:szCs w:val="32"/>
        </w:rPr>
        <w:t>非公募基金会</w:t>
      </w:r>
      <w:r>
        <w:rPr>
          <w:rFonts w:hint="eastAsia" w:ascii="Times New Roman" w:hAnsi="Times New Roman" w:eastAsia="仿宋_GB2312"/>
          <w:color w:val="0000FF"/>
          <w:sz w:val="32"/>
          <w:szCs w:val="32"/>
        </w:rPr>
        <w:t>。</w:t>
      </w:r>
      <w:r>
        <w:rPr>
          <w:rFonts w:ascii="Times New Roman" w:hAnsi="Times New Roman" w:eastAsia="仿宋_GB2312"/>
          <w:color w:val="0000FF"/>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本基金会工作人员工资福利和行政办公支出不超过当年总支出的10%。</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第三十八条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本基金会开展公益资助项目，应当向社会公开所开展的公益资助项目种类以及申请、评审程序。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第三十九条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捐赠人有权向本基金会查询捐赠财产的使用、管理情况，并提出意见和建议。对于捐赠人的查询，基金会应当及时如实答复。</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本基金会违反捐赠协议使用捐赠财产的，捐赠人有权要求基金会遵守捐赠协议或者向人民法院申请撤销捐赠行为、解除捐赠协议。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本基金会可以与受助人签订协议，约定资助方式、资助数额以及资金用途和使用方式。</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本基金会有权对资助的使用情况进行监督。受助人未按协议约定使用资助或者有其他违反协议情形的，本基金会有权解除资助协议。</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第四十一条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本基金会应当执行国家统一的会计制度，依法进行会计核算、建立健全内部会计监督制度，保证会计资料合法、真实、准确、完整。</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本基金会接受税务、会计主管部门依法实施的税务监督和会计监督。</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第四十二条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本基金会配备具有专业资格的会计人员。会计不得兼出纳。会计人员调动工作或离职时，必须与接管人员办清交接手续。</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第四十三条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本基金会每年1月1日至12月31日为业务及会计年度，每年3月31日前，理事会对下列事项进行审定：</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（一）上年度业务报告及经费收支决算；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（二）本年度业务计划及经费收支预算；</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（三）财产清册</w:t>
      </w:r>
      <w:r>
        <w:rPr>
          <w:rFonts w:hint="eastAsia" w:ascii="Times New Roman" w:hAnsi="Times New Roman" w:eastAsia="仿宋_GB2312"/>
          <w:sz w:val="32"/>
          <w:szCs w:val="32"/>
        </w:rPr>
        <w:t>。</w:t>
      </w:r>
      <w:r>
        <w:rPr>
          <w:rFonts w:ascii="Times New Roman" w:hAnsi="Times New Roman" w:eastAsia="仿宋_GB2312"/>
          <w:sz w:val="32"/>
          <w:szCs w:val="32"/>
        </w:rPr>
        <w:t>〖当年度捐赠者名册及有关资料〗</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第四十四条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本基金会进行年检、换届、更换法定代表人以及清算，应当进行财务审计。</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第四十五条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本基金会按照《基金会管理条例》规定接受登记管理机关组织的年度检查。</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第四十六条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本基金会通过登记管理机关的年度检查后，将年度工作报告在登记管理机关指定的媒体上公布，接受社会公众的查询、监督。</w:t>
      </w:r>
    </w:p>
    <w:p>
      <w:pPr>
        <w:spacing w:line="595" w:lineRule="exact"/>
        <w:ind w:firstLine="645"/>
        <w:rPr>
          <w:rFonts w:ascii="Times New Roman" w:hAnsi="Times New Roman" w:eastAsia="仿宋_GB2312"/>
          <w:sz w:val="32"/>
          <w:szCs w:val="32"/>
        </w:rPr>
      </w:pPr>
      <w:r>
        <w:rPr>
          <w:rFonts w:hint="eastAsia" w:ascii="黑体" w:hAnsi="Times New Roman" w:eastAsia="黑体"/>
          <w:sz w:val="32"/>
          <w:szCs w:val="32"/>
        </w:rPr>
        <w:t xml:space="preserve">第四十七条  </w:t>
      </w:r>
      <w:r>
        <w:rPr>
          <w:rFonts w:hint="eastAsia" w:ascii="Times New Roman" w:hAnsi="Times New Roman" w:eastAsia="仿宋_GB2312"/>
          <w:sz w:val="32"/>
          <w:szCs w:val="32"/>
        </w:rPr>
        <w:t>本基金会应当合理设计慈善项目，符合本基金会宗旨和章程的有关规定。优化实施流程，降低运行成本，提高慈善财产使用效益。</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本基金会建立健全慈善项目的决策、执行、监督机制，对慈善项目的立项、审查、执行、控制、评估、反馈等环节建立科学、规范、有效的要求，设立项目管理机构，配备专职人员，行使项目管理职责。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本基金会按照公开、公平、公正的原则，确定慈善受益人。本基金会管理人员的利害关系人不得作为受益人。</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本基金会开展重大慈善项目，应当由理事会表决通过，且同意的人数不得低于到会理事人数的2/3。</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本基金会的重大慈善项目包括：</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（一）年度慈善项目计划；</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（二）超过</w:t>
      </w:r>
      <w:r>
        <w:rPr>
          <w:rFonts w:hint="eastAsia" w:ascii="Times New Roman" w:hAnsi="Times New Roman" w:eastAsia="仿宋_GB2312"/>
          <w:sz w:val="32"/>
          <w:szCs w:val="32"/>
          <w:u w:val="single"/>
        </w:rPr>
        <w:t xml:space="preserve">    </w:t>
      </w:r>
      <w:r>
        <w:rPr>
          <w:rFonts w:hint="eastAsia" w:ascii="Times New Roman" w:hAnsi="Times New Roman" w:eastAsia="仿宋_GB2312"/>
          <w:sz w:val="32"/>
          <w:szCs w:val="32"/>
        </w:rPr>
        <w:t>万元的慈善项目；</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 xml:space="preserve"> ……</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本基金会开展重大慈善项目之前，应当及时向业务主管单位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报备。</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项目资金的使用要严格遵守国家财务会计制度的规定，按照捐赠协议专款专用。</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慈善项目资金的管理使用要自觉接受财政部门、审计机关、业务主管单位</w:t>
      </w:r>
      <w:r>
        <w:rPr>
          <w:rFonts w:hint="eastAsia" w:eastAsia="仿宋_GB2312"/>
          <w:color w:val="0000FF"/>
          <w:sz w:val="32"/>
          <w:szCs w:val="32"/>
        </w:rPr>
        <w:t>〖无业务主管单位的为党建工作机构〗</w:t>
      </w:r>
      <w:r>
        <w:rPr>
          <w:rFonts w:hint="eastAsia" w:ascii="Times New Roman" w:hAnsi="Times New Roman" w:eastAsia="仿宋_GB2312"/>
          <w:sz w:val="32"/>
          <w:szCs w:val="32"/>
        </w:rPr>
        <w:t>、登记管理机关和社会公众的监督，认真履行信息公开义务，接受社会监督。</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本基金会要加强慈善项目档案管理，保存慈善项目的完整信息，做好慈善项目的建档归档工作。</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第五章  终止和剩余财产处理</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第四十</w:t>
      </w:r>
      <w:r>
        <w:rPr>
          <w:rFonts w:hint="eastAsia" w:ascii="黑体" w:hAnsi="Times New Roman" w:eastAsia="黑体"/>
          <w:sz w:val="32"/>
          <w:szCs w:val="32"/>
        </w:rPr>
        <w:t>八</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本基金会有以下情形之一，应当终止：</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（一）完成章程规定的宗旨的；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（二）无法按照章程规定的宗旨继续从事公益活动的；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（三）基金会发生分立、合并的；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……（其他情形）。</w:t>
      </w:r>
    </w:p>
    <w:p>
      <w:pPr>
        <w:spacing w:line="595" w:lineRule="exact"/>
        <w:ind w:firstLine="645"/>
        <w:rPr>
          <w:rFonts w:ascii="Times New Roman" w:hAnsi="Times New Roman" w:eastAsia="仿宋_GB2312"/>
          <w:sz w:val="32"/>
          <w:szCs w:val="32"/>
        </w:rPr>
      </w:pPr>
      <w:r>
        <w:rPr>
          <w:rFonts w:ascii="黑体" w:hAnsi="Times New Roman" w:eastAsia="黑体"/>
          <w:sz w:val="32"/>
          <w:szCs w:val="32"/>
          <w:highlight w:val="yellow"/>
        </w:rPr>
        <w:t>第四十</w:t>
      </w:r>
      <w:r>
        <w:rPr>
          <w:rFonts w:hint="eastAsia" w:ascii="黑体" w:hAnsi="Times New Roman" w:eastAsia="黑体"/>
          <w:sz w:val="32"/>
          <w:szCs w:val="32"/>
          <w:highlight w:val="yellow"/>
        </w:rPr>
        <w:t>九</w:t>
      </w:r>
      <w:r>
        <w:rPr>
          <w:rFonts w:ascii="黑体" w:hAnsi="Times New Roman" w:eastAsia="黑体"/>
          <w:sz w:val="32"/>
          <w:szCs w:val="32"/>
          <w:highlight w:val="yellow"/>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本基金会终止，应在理事会表决通过后15日内，报业务主管单位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审查同意。经业务主管单位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审查同意后15</w:t>
      </w:r>
      <w:r>
        <w:rPr>
          <w:rFonts w:hint="eastAsia" w:ascii="Times New Roman" w:hAnsi="Times New Roman" w:eastAsia="仿宋_GB2312"/>
          <w:sz w:val="32"/>
          <w:szCs w:val="32"/>
        </w:rPr>
        <w:t>日</w:t>
      </w:r>
      <w:r>
        <w:rPr>
          <w:rFonts w:ascii="Times New Roman" w:hAnsi="Times New Roman" w:eastAsia="仿宋_GB2312"/>
          <w:sz w:val="32"/>
          <w:szCs w:val="32"/>
        </w:rPr>
        <w:t>内，向登记管理机关申请注销登记。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本基金会办理注销登记前，应当在登记管理机关、业务主管单位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的指导下成立清算组织，完成清算工作。</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本基金会应当自清算结束之日起15日内向登记管理机关办理注销登记；在清算期间不开展清算以外的活动。</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第五十</w:t>
      </w:r>
      <w:r>
        <w:rPr>
          <w:rFonts w:hint="eastAsia" w:ascii="黑体" w:hAnsi="Times New Roman" w:eastAsia="黑体"/>
          <w:sz w:val="32"/>
          <w:szCs w:val="32"/>
        </w:rPr>
        <w:t>一</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本基金会注销后的剩余财产，应当在业务主管单位</w:t>
      </w:r>
      <w:r>
        <w:rPr>
          <w:rFonts w:hint="eastAsia" w:eastAsia="仿宋_GB2312"/>
          <w:color w:val="0000FF"/>
          <w:sz w:val="32"/>
          <w:szCs w:val="32"/>
        </w:rPr>
        <w:t>〖无业务主管单位的为党建工作机构〗</w:t>
      </w:r>
      <w:r>
        <w:rPr>
          <w:rFonts w:ascii="Times New Roman" w:hAnsi="Times New Roman" w:eastAsia="仿宋_GB2312"/>
          <w:sz w:val="32"/>
          <w:szCs w:val="32"/>
        </w:rPr>
        <w:t>和登记管理机关的监督下，通过以下方式用于公益目的：</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（一）</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（二）</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（三）</w:t>
      </w:r>
      <w:r>
        <w:rPr>
          <w:rFonts w:hint="eastAsia" w:ascii="Times New Roman" w:hAnsi="Times New Roman" w:eastAsia="仿宋_GB2312"/>
          <w:sz w:val="32"/>
          <w:szCs w:val="32"/>
          <w:u w:val="single"/>
        </w:rPr>
        <w:t xml:space="preserve">                                  </w:t>
      </w: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ascii="Times New Roman" w:hAnsi="Times New Roman" w:eastAsia="仿宋_GB2312"/>
          <w:sz w:val="32"/>
          <w:szCs w:val="32"/>
        </w:rPr>
        <w:t>……。</w:t>
      </w:r>
    </w:p>
    <w:p>
      <w:pPr>
        <w:spacing w:line="595" w:lineRule="exact"/>
        <w:ind w:firstLine="645"/>
        <w:rPr>
          <w:rFonts w:ascii="Times New Roman" w:hAnsi="Times New Roman" w:eastAsia="仿宋_GB2312"/>
          <w:sz w:val="32"/>
          <w:szCs w:val="32"/>
        </w:rPr>
      </w:pPr>
      <w:r>
        <w:rPr>
          <w:rFonts w:hint="eastAsia" w:ascii="Times New Roman" w:hAnsi="Times New Roman" w:eastAsia="仿宋_GB2312"/>
          <w:sz w:val="32"/>
          <w:szCs w:val="32"/>
        </w:rPr>
        <w:t>无法按照上述方式处理的，应当按照章程的规定转给宗旨相同或者相似的慈善组织，章程未规定的，由民政部门转给相同或者相近的慈善组织，并向社会公告。</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章  章程修改</w:t>
      </w:r>
    </w:p>
    <w:p>
      <w:pPr>
        <w:spacing w:before="312" w:beforeLines="100" w:after="312" w:afterLines="100" w:line="595" w:lineRule="exact"/>
        <w:jc w:val="left"/>
        <w:rPr>
          <w:rFonts w:ascii="Times New Roman" w:hAnsi="Times New Roman" w:eastAsia="仿宋_GB2312"/>
          <w:sz w:val="32"/>
          <w:szCs w:val="32"/>
        </w:rPr>
      </w:pPr>
      <w:r>
        <w:rPr>
          <w:rFonts w:hint="eastAsia" w:ascii="黑体" w:hAnsi="Times New Roman" w:eastAsia="黑体"/>
          <w:sz w:val="32"/>
          <w:szCs w:val="32"/>
        </w:rPr>
        <w:t xml:space="preserve">    </w:t>
      </w:r>
      <w:r>
        <w:rPr>
          <w:rFonts w:ascii="黑体" w:hAnsi="Times New Roman" w:eastAsia="黑体"/>
          <w:sz w:val="32"/>
          <w:szCs w:val="32"/>
        </w:rPr>
        <w:t>第五十</w:t>
      </w:r>
      <w:r>
        <w:rPr>
          <w:rFonts w:hint="eastAsia" w:ascii="黑体" w:hAnsi="Times New Roman" w:eastAsia="黑体"/>
          <w:sz w:val="32"/>
          <w:szCs w:val="32"/>
        </w:rPr>
        <w:t>二</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本章程的修改，须经理事会表决通过后15日内，</w:t>
      </w:r>
      <w:r>
        <w:rPr>
          <w:rFonts w:hint="eastAsia" w:ascii="Times New Roman" w:hAnsi="Times New Roman" w:eastAsia="仿宋_GB2312"/>
          <w:sz w:val="32"/>
          <w:szCs w:val="32"/>
        </w:rPr>
        <w:t>报业务主管单位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审查同意。经业务主管单位</w:t>
      </w:r>
      <w:r>
        <w:rPr>
          <w:rFonts w:hint="eastAsia" w:eastAsia="仿宋_GB2312"/>
          <w:color w:val="0000FF"/>
          <w:sz w:val="32"/>
          <w:szCs w:val="32"/>
        </w:rPr>
        <w:t>和</w:t>
      </w:r>
      <w:r>
        <w:rPr>
          <w:rFonts w:eastAsia="仿宋_GB2312"/>
          <w:color w:val="0000FF"/>
          <w:sz w:val="32"/>
          <w:szCs w:val="32"/>
        </w:rPr>
        <w:t>党建</w:t>
      </w:r>
      <w:r>
        <w:rPr>
          <w:rFonts w:hint="eastAsia" w:eastAsia="仿宋_GB2312"/>
          <w:color w:val="0000FF"/>
          <w:sz w:val="32"/>
          <w:szCs w:val="32"/>
        </w:rPr>
        <w:t>工作机构</w:t>
      </w:r>
      <w:r>
        <w:rPr>
          <w:rFonts w:hint="eastAsia" w:ascii="Times New Roman" w:hAnsi="Times New Roman" w:eastAsia="仿宋_GB2312"/>
          <w:sz w:val="32"/>
          <w:szCs w:val="32"/>
        </w:rPr>
        <w:t>同意后，报登记管理机关核准</w:t>
      </w:r>
      <w:r>
        <w:rPr>
          <w:rFonts w:ascii="Times New Roman" w:hAnsi="Times New Roman" w:eastAsia="仿宋_GB2312"/>
          <w:sz w:val="32"/>
          <w:szCs w:val="32"/>
        </w:rPr>
        <w:t>。</w:t>
      </w:r>
    </w:p>
    <w:p>
      <w:pPr>
        <w:spacing w:before="312" w:beforeLines="100" w:after="312" w:afterLines="100" w:line="595" w:lineRule="exact"/>
        <w:jc w:val="center"/>
        <w:rPr>
          <w:rFonts w:ascii="黑体" w:hAnsi="Times New Roman" w:eastAsia="黑体"/>
          <w:b/>
          <w:bCs/>
        </w:rPr>
      </w:pPr>
      <w:r>
        <w:rPr>
          <w:rFonts w:hint="eastAsia" w:ascii="黑体" w:hAnsi="Times New Roman" w:eastAsia="黑体"/>
          <w:sz w:val="32"/>
          <w:szCs w:val="32"/>
        </w:rPr>
        <w:t>第七章 党组织建设</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五十三</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本基金会按照党章规定，经上级党组织批准设立党组织。如暂不能单独建立党组织，支持通过联合建立党组织、选派党建工作联络员等方式，在本组织开展党的工作。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五十四</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本基金会党组织负责人，一般由本基金会秘书长以上负责人中的中共正式党员担任，如需要由其他同志担任的，报党建工作机构审核同意。</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五十五</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探索建立开放式党组织和党小组，对党员有3名以上，但能接转组织关系的党员不足3名的，建立功能型、拓展型党组织。</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 xml:space="preserve">五十六条  </w:t>
      </w:r>
      <w:r>
        <w:rPr>
          <w:rFonts w:hint="eastAsia" w:ascii="Times New Roman" w:hAnsi="Times New Roman" w:eastAsia="仿宋_GB2312"/>
          <w:sz w:val="32"/>
          <w:szCs w:val="32"/>
        </w:rPr>
        <w:t>本基金会换届选举时，应先征求本基金会党组织意见；本基金会变更、撤并或注销，党组织应及时向上级党组织报告，并做好党员组织关系转移等相关工作。</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五十七</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本基金会为党组织开展活动、做好工作提供必要的场地、人员和经费支持，将党建工作经费纳入管理费用列支，支持党组织建设活动阵地。</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五十八</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本基金会支持领导班子与党组织领导班子“双向进入、交叉任职”，党组织负责人参加或列席管理层有关会议、党组织开展有关活动邀请非党员的社会组织负责人参加。</w:t>
      </w:r>
    </w:p>
    <w:p>
      <w:pPr>
        <w:spacing w:line="595" w:lineRule="exact"/>
        <w:ind w:firstLine="645"/>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五十九</w:t>
      </w:r>
      <w:r>
        <w:rPr>
          <w:rFonts w:ascii="黑体" w:hAnsi="Times New Roman" w:eastAsia="黑体"/>
          <w:sz w:val="32"/>
          <w:szCs w:val="32"/>
        </w:rPr>
        <w:t>条</w:t>
      </w:r>
      <w:r>
        <w:rPr>
          <w:rFonts w:hint="eastAsia" w:ascii="黑体" w:hAnsi="Times New Roman" w:eastAsia="黑体"/>
          <w:sz w:val="32"/>
          <w:szCs w:val="32"/>
        </w:rPr>
        <w:t xml:space="preserve">  </w:t>
      </w:r>
      <w:r>
        <w:rPr>
          <w:rFonts w:hint="eastAsia" w:ascii="Times New Roman" w:hAnsi="Times New Roman" w:eastAsia="仿宋_GB2312"/>
          <w:sz w:val="32"/>
          <w:szCs w:val="32"/>
        </w:rPr>
        <w:t>本基金会支持党组织对本基金会重要事项决策、重要业务活动、大额经费开支、接收大额捐赠、开展涉外活动等提出意见。</w:t>
      </w:r>
    </w:p>
    <w:p>
      <w:pPr>
        <w:spacing w:before="312" w:beforeLines="100" w:after="312" w:afterLines="100" w:line="595" w:lineRule="exact"/>
        <w:jc w:val="center"/>
        <w:rPr>
          <w:rFonts w:ascii="黑体" w:hAnsi="Times New Roman" w:eastAsia="黑体"/>
          <w:sz w:val="32"/>
          <w:szCs w:val="32"/>
        </w:rPr>
      </w:pPr>
      <w:r>
        <w:rPr>
          <w:rFonts w:ascii="黑体" w:hAnsi="Times New Roman" w:eastAsia="黑体"/>
          <w:sz w:val="32"/>
          <w:szCs w:val="32"/>
        </w:rPr>
        <w:t>第</w:t>
      </w:r>
      <w:r>
        <w:rPr>
          <w:rFonts w:hint="eastAsia" w:ascii="黑体" w:hAnsi="Times New Roman" w:eastAsia="黑体"/>
          <w:sz w:val="32"/>
          <w:szCs w:val="32"/>
        </w:rPr>
        <w:t>八</w:t>
      </w:r>
      <w:r>
        <w:rPr>
          <w:rFonts w:ascii="黑体" w:hAnsi="Times New Roman" w:eastAsia="黑体"/>
          <w:sz w:val="32"/>
          <w:szCs w:val="32"/>
        </w:rPr>
        <w:t>章  附</w:t>
      </w:r>
      <w:r>
        <w:rPr>
          <w:rFonts w:hint="eastAsia" w:ascii="黑体" w:hAnsi="Times New Roman" w:eastAsia="黑体"/>
          <w:sz w:val="32"/>
          <w:szCs w:val="32"/>
        </w:rPr>
        <w:t xml:space="preserve">    </w:t>
      </w:r>
      <w:r>
        <w:rPr>
          <w:rFonts w:ascii="黑体" w:hAnsi="Times New Roman" w:eastAsia="黑体"/>
          <w:sz w:val="32"/>
          <w:szCs w:val="32"/>
        </w:rPr>
        <w:t>则</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w:t>
      </w:r>
      <w:r>
        <w:rPr>
          <w:rFonts w:ascii="黑体" w:hAnsi="Times New Roman" w:eastAsia="黑体"/>
          <w:sz w:val="32"/>
          <w:szCs w:val="32"/>
        </w:rPr>
        <w:t>十条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本章程经</w:t>
      </w:r>
      <w:r>
        <w:rPr>
          <w:rFonts w:hint="eastAsia" w:ascii="仿宋" w:hAnsi="仿宋" w:eastAsia="仿宋"/>
          <w:sz w:val="32"/>
          <w:szCs w:val="32"/>
        </w:rPr>
        <w:t>×</w:t>
      </w:r>
      <w:r>
        <w:rPr>
          <w:rFonts w:ascii="Times New Roman" w:hAnsi="Times New Roman" w:eastAsia="仿宋_GB2312"/>
          <w:sz w:val="32"/>
          <w:szCs w:val="32"/>
        </w:rPr>
        <w:t>年</w:t>
      </w:r>
      <w:r>
        <w:rPr>
          <w:rFonts w:hint="eastAsia" w:ascii="仿宋" w:hAnsi="仿宋" w:eastAsia="仿宋"/>
          <w:sz w:val="32"/>
          <w:szCs w:val="32"/>
        </w:rPr>
        <w:t>×</w:t>
      </w:r>
      <w:r>
        <w:rPr>
          <w:rFonts w:ascii="Times New Roman" w:hAnsi="Times New Roman" w:eastAsia="仿宋_GB2312"/>
          <w:sz w:val="32"/>
          <w:szCs w:val="32"/>
        </w:rPr>
        <w:t>月</w:t>
      </w:r>
      <w:r>
        <w:rPr>
          <w:rFonts w:hint="eastAsia" w:ascii="仿宋" w:hAnsi="仿宋" w:eastAsia="仿宋"/>
          <w:sz w:val="32"/>
          <w:szCs w:val="32"/>
        </w:rPr>
        <w:t>×</w:t>
      </w:r>
      <w:r>
        <w:rPr>
          <w:rFonts w:ascii="Times New Roman" w:hAnsi="Times New Roman" w:eastAsia="仿宋_GB2312"/>
          <w:sz w:val="32"/>
          <w:szCs w:val="32"/>
        </w:rPr>
        <w:t>日理事会表决通过。</w:t>
      </w:r>
    </w:p>
    <w:p>
      <w:pPr>
        <w:spacing w:line="595" w:lineRule="exact"/>
        <w:ind w:firstLine="640" w:firstLineChars="200"/>
        <w:rPr>
          <w:rFonts w:ascii="Times New Roman" w:hAnsi="Times New Roman" w:eastAsia="仿宋_GB2312"/>
          <w:sz w:val="32"/>
          <w:szCs w:val="32"/>
        </w:rPr>
      </w:pPr>
      <w:r>
        <w:rPr>
          <w:rFonts w:ascii="黑体" w:hAnsi="Times New Roman" w:eastAsia="黑体"/>
          <w:sz w:val="32"/>
          <w:szCs w:val="32"/>
        </w:rPr>
        <w:t>第</w:t>
      </w:r>
      <w:r>
        <w:rPr>
          <w:rFonts w:hint="eastAsia" w:ascii="黑体" w:hAnsi="Times New Roman" w:eastAsia="黑体"/>
          <w:sz w:val="32"/>
          <w:szCs w:val="32"/>
        </w:rPr>
        <w:t>六十一</w:t>
      </w:r>
      <w:r>
        <w:rPr>
          <w:rFonts w:ascii="黑体" w:hAnsi="Times New Roman" w:eastAsia="黑体"/>
          <w:sz w:val="32"/>
          <w:szCs w:val="32"/>
        </w:rPr>
        <w:t>条</w:t>
      </w:r>
      <w:r>
        <w:rPr>
          <w:rFonts w:hint="eastAsia" w:ascii="Times New Roman" w:hAnsi="Times New Roman" w:eastAsia="仿宋_GB2312"/>
          <w:sz w:val="32"/>
          <w:szCs w:val="32"/>
        </w:rPr>
        <w:t xml:space="preserve"> </w:t>
      </w:r>
      <w:r>
        <w:rPr>
          <w:rFonts w:ascii="Times New Roman" w:hAnsi="Times New Roman" w:eastAsia="仿宋_GB2312"/>
          <w:sz w:val="32"/>
          <w:szCs w:val="32"/>
        </w:rPr>
        <w:t xml:space="preserve"> 本章程的解释权属于理事会。</w:t>
      </w:r>
    </w:p>
    <w:p>
      <w:pPr>
        <w:spacing w:line="360" w:lineRule="auto"/>
        <w:jc w:val="center"/>
        <w:rPr>
          <w:rFonts w:ascii="黑体" w:hAnsi="黑体" w:eastAsia="黑体"/>
        </w:rPr>
      </w:pPr>
      <w:r>
        <w:rPr>
          <w:rFonts w:hint="eastAsia" w:ascii="黑体" w:hAnsi="Times New Roman" w:eastAsia="黑体"/>
          <w:sz w:val="32"/>
          <w:szCs w:val="32"/>
        </w:rPr>
        <w:t xml:space="preserve">    </w:t>
      </w:r>
      <w:r>
        <w:rPr>
          <w:rFonts w:ascii="黑体" w:hAnsi="Times New Roman" w:eastAsia="黑体"/>
          <w:sz w:val="32"/>
          <w:szCs w:val="32"/>
        </w:rPr>
        <w:t>第</w:t>
      </w:r>
      <w:r>
        <w:rPr>
          <w:rFonts w:hint="eastAsia" w:ascii="黑体" w:hAnsi="Times New Roman" w:eastAsia="黑体"/>
          <w:sz w:val="32"/>
          <w:szCs w:val="32"/>
        </w:rPr>
        <w:t>六十二</w:t>
      </w:r>
      <w:r>
        <w:rPr>
          <w:rFonts w:ascii="黑体" w:hAnsi="Times New Roman" w:eastAsia="黑体"/>
          <w:sz w:val="32"/>
          <w:szCs w:val="32"/>
        </w:rPr>
        <w:t>条</w:t>
      </w:r>
      <w:r>
        <w:rPr>
          <w:rFonts w:ascii="Times New Roman" w:hAnsi="Times New Roman" w:eastAsia="仿宋_GB2312"/>
          <w:sz w:val="32"/>
          <w:szCs w:val="32"/>
        </w:rPr>
        <w:t xml:space="preserve"> </w:t>
      </w:r>
      <w:r>
        <w:rPr>
          <w:rFonts w:hint="eastAsia" w:ascii="Times New Roman" w:hAnsi="Times New Roman" w:eastAsia="仿宋_GB2312"/>
          <w:sz w:val="32"/>
          <w:szCs w:val="32"/>
        </w:rPr>
        <w:t xml:space="preserve"> </w:t>
      </w:r>
      <w:r>
        <w:rPr>
          <w:rFonts w:ascii="Times New Roman" w:hAnsi="Times New Roman" w:eastAsia="仿宋_GB2312"/>
          <w:sz w:val="32"/>
          <w:szCs w:val="32"/>
        </w:rPr>
        <w:t>本章程自登记管理机关核准之日起生效。</w:t>
      </w:r>
    </w:p>
    <w:p>
      <w:pPr>
        <w:spacing w:line="580" w:lineRule="exact"/>
        <w:jc w:val="center"/>
        <w:rPr>
          <w:rFonts w:ascii="宋体" w:hAnsi="宋体"/>
          <w:b/>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BF9"/>
    <w:rsid w:val="000449F2"/>
    <w:rsid w:val="000C3184"/>
    <w:rsid w:val="000C55A0"/>
    <w:rsid w:val="000F7E12"/>
    <w:rsid w:val="00133500"/>
    <w:rsid w:val="00141D0A"/>
    <w:rsid w:val="0016544E"/>
    <w:rsid w:val="001A5C22"/>
    <w:rsid w:val="00232FD0"/>
    <w:rsid w:val="00245B32"/>
    <w:rsid w:val="00295B28"/>
    <w:rsid w:val="002E3B96"/>
    <w:rsid w:val="003205B4"/>
    <w:rsid w:val="0033796A"/>
    <w:rsid w:val="00366803"/>
    <w:rsid w:val="003760C8"/>
    <w:rsid w:val="00377CF5"/>
    <w:rsid w:val="003F5768"/>
    <w:rsid w:val="00492C73"/>
    <w:rsid w:val="004D3756"/>
    <w:rsid w:val="00537BA4"/>
    <w:rsid w:val="00544DD4"/>
    <w:rsid w:val="00546145"/>
    <w:rsid w:val="00592BF9"/>
    <w:rsid w:val="005A77A3"/>
    <w:rsid w:val="00621723"/>
    <w:rsid w:val="006342D0"/>
    <w:rsid w:val="00673545"/>
    <w:rsid w:val="006762AF"/>
    <w:rsid w:val="006A1AA0"/>
    <w:rsid w:val="006B23D3"/>
    <w:rsid w:val="006B5A3D"/>
    <w:rsid w:val="006E642C"/>
    <w:rsid w:val="006F0074"/>
    <w:rsid w:val="00737EAE"/>
    <w:rsid w:val="00775077"/>
    <w:rsid w:val="007E388D"/>
    <w:rsid w:val="008466E5"/>
    <w:rsid w:val="00857399"/>
    <w:rsid w:val="008577E2"/>
    <w:rsid w:val="008A714E"/>
    <w:rsid w:val="008D7B53"/>
    <w:rsid w:val="00961751"/>
    <w:rsid w:val="009A58FC"/>
    <w:rsid w:val="009C2563"/>
    <w:rsid w:val="009C56A1"/>
    <w:rsid w:val="009D6F1B"/>
    <w:rsid w:val="009F40FA"/>
    <w:rsid w:val="009F5C5A"/>
    <w:rsid w:val="00A03FF5"/>
    <w:rsid w:val="00A04A29"/>
    <w:rsid w:val="00A16088"/>
    <w:rsid w:val="00A21690"/>
    <w:rsid w:val="00A60082"/>
    <w:rsid w:val="00A605D4"/>
    <w:rsid w:val="00A82EEB"/>
    <w:rsid w:val="00A92CEC"/>
    <w:rsid w:val="00AA12F7"/>
    <w:rsid w:val="00AA57DF"/>
    <w:rsid w:val="00AC1526"/>
    <w:rsid w:val="00AE77D7"/>
    <w:rsid w:val="00B438B9"/>
    <w:rsid w:val="00B9406B"/>
    <w:rsid w:val="00BA1AAA"/>
    <w:rsid w:val="00BD151D"/>
    <w:rsid w:val="00C7586F"/>
    <w:rsid w:val="00CC2F9B"/>
    <w:rsid w:val="00CE7E14"/>
    <w:rsid w:val="00D03D46"/>
    <w:rsid w:val="00D163DC"/>
    <w:rsid w:val="00D1756E"/>
    <w:rsid w:val="00D23E2B"/>
    <w:rsid w:val="00D454B6"/>
    <w:rsid w:val="00D61694"/>
    <w:rsid w:val="00D66180"/>
    <w:rsid w:val="00E148CA"/>
    <w:rsid w:val="00E34B16"/>
    <w:rsid w:val="00E41076"/>
    <w:rsid w:val="00E45583"/>
    <w:rsid w:val="00E70D43"/>
    <w:rsid w:val="00E92C49"/>
    <w:rsid w:val="00EB7201"/>
    <w:rsid w:val="00ED55C4"/>
    <w:rsid w:val="00EE579D"/>
    <w:rsid w:val="00EE6BFE"/>
    <w:rsid w:val="00F428D0"/>
    <w:rsid w:val="00F643F6"/>
    <w:rsid w:val="00F84486"/>
    <w:rsid w:val="00FA71CB"/>
    <w:rsid w:val="00FE0545"/>
    <w:rsid w:val="0B913E96"/>
    <w:rsid w:val="0C2B745A"/>
    <w:rsid w:val="11D55282"/>
    <w:rsid w:val="12BE39D5"/>
    <w:rsid w:val="213E69C3"/>
    <w:rsid w:val="33850C97"/>
    <w:rsid w:val="38541B20"/>
    <w:rsid w:val="4CF64567"/>
    <w:rsid w:val="50BF38AC"/>
    <w:rsid w:val="56FA5925"/>
    <w:rsid w:val="57C36DBF"/>
    <w:rsid w:val="5B434E27"/>
    <w:rsid w:val="65E6140C"/>
    <w:rsid w:val="70A14D6F"/>
    <w:rsid w:val="755D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qFormat/>
    <w:uiPriority w:val="99"/>
    <w:rPr>
      <w:rFonts w:ascii="Calibri" w:hAnsi="Calibri" w:eastAsia="宋体" w:cs="Times New Roman"/>
      <w:sz w:val="18"/>
      <w:szCs w:val="18"/>
    </w:rPr>
  </w:style>
  <w:style w:type="character" w:customStyle="1" w:styleId="8">
    <w:name w:val="页脚 Char"/>
    <w:basedOn w:val="5"/>
    <w:link w:val="2"/>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0936531-6383-446A-9714-FFDE5264D1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1017</Words>
  <Characters>5801</Characters>
  <Lines>48</Lines>
  <Paragraphs>13</Paragraphs>
  <TotalTime>0</TotalTime>
  <ScaleCrop>false</ScaleCrop>
  <LinksUpToDate>false</LinksUpToDate>
  <CharactersWithSpaces>6805</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2020-04-07T07:25:00Z</dcterms:created>
  <dc:creator>thinkpad</dc:creator>
  <cp:lastModifiedBy>MY</cp:lastModifiedBy>
  <dcterms:modified xsi:type="dcterms:W3CDTF">2021-09-18T03:24:22Z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8619676AEF7F409A9A88A39F999B1714</vt:lpwstr>
  </property>
</Properties>
</file>